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2679E" w14:textId="2BB913A4" w:rsidR="009F45A0" w:rsidRPr="00FA446F" w:rsidRDefault="006873DD" w:rsidP="00FA446F">
      <w:pPr>
        <w:pStyle w:val="Heading2"/>
      </w:pPr>
      <w:r>
        <w:t xml:space="preserve">Haematology </w:t>
      </w:r>
      <w:r w:rsidR="00D445BA" w:rsidRPr="00077B16">
        <w:t>audit template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EA3EFA">
        <w:trPr>
          <w:trHeight w:val="78"/>
        </w:trPr>
        <w:tc>
          <w:tcPr>
            <w:tcW w:w="1737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891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EA3EFA">
        <w:trPr>
          <w:trHeight w:val="469"/>
        </w:trPr>
        <w:tc>
          <w:tcPr>
            <w:tcW w:w="1737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891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EA3EFA">
        <w:trPr>
          <w:trHeight w:val="58"/>
        </w:trPr>
        <w:tc>
          <w:tcPr>
            <w:tcW w:w="1737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891" w:type="dxa"/>
          </w:tcPr>
          <w:p w14:paraId="645C2A8E" w14:textId="0DA529ED" w:rsidR="009F45A0" w:rsidRPr="009349D7" w:rsidRDefault="006873DD" w:rsidP="00952DFE">
            <w:r>
              <w:t>Haematolog</w:t>
            </w:r>
            <w:r w:rsidR="000614D0">
              <w:t>y</w:t>
            </w:r>
          </w:p>
        </w:tc>
      </w:tr>
      <w:tr w:rsidR="00690DA4" w:rsidRPr="00077B16" w14:paraId="13EFC558" w14:textId="77777777" w:rsidTr="00EA3EFA">
        <w:trPr>
          <w:trHeight w:val="469"/>
        </w:trPr>
        <w:tc>
          <w:tcPr>
            <w:tcW w:w="1737" w:type="dxa"/>
          </w:tcPr>
          <w:p w14:paraId="3A56FE41" w14:textId="77777777" w:rsidR="00690DA4" w:rsidRPr="009349D7" w:rsidRDefault="00690DA4" w:rsidP="00876760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891" w:type="dxa"/>
          </w:tcPr>
          <w:p w14:paraId="557F6919" w14:textId="645BED73" w:rsidR="00690DA4" w:rsidRPr="00772A54" w:rsidRDefault="000614D0" w:rsidP="00952DFE">
            <w:r w:rsidRPr="00772A54">
              <w:t>An audit of compliance with the British Society for Haematology guideline for</w:t>
            </w:r>
            <w:r w:rsidRPr="00772A54">
              <w:rPr>
                <w:i/>
                <w:iCs/>
                <w:color w:val="0000FF"/>
              </w:rPr>
              <w:t xml:space="preserve"> </w:t>
            </w:r>
            <w:r w:rsidR="00706626" w:rsidRPr="00706626">
              <w:t>t</w:t>
            </w:r>
            <w:r w:rsidRPr="00772A54">
              <w:t xml:space="preserve">he </w:t>
            </w:r>
            <w:r w:rsidR="00706626">
              <w:t>m</w:t>
            </w:r>
            <w:r w:rsidRPr="00772A54">
              <w:t xml:space="preserve">anagement of </w:t>
            </w:r>
            <w:r w:rsidR="00706626">
              <w:t>m</w:t>
            </w:r>
            <w:r w:rsidRPr="00772A54">
              <w:t>yelofibrosis</w:t>
            </w:r>
          </w:p>
        </w:tc>
      </w:tr>
      <w:tr w:rsidR="00EA3EFA" w:rsidRPr="00077B16" w14:paraId="2B750D7A" w14:textId="77777777" w:rsidTr="00EA3EFA">
        <w:trPr>
          <w:trHeight w:val="469"/>
        </w:trPr>
        <w:tc>
          <w:tcPr>
            <w:tcW w:w="1737" w:type="dxa"/>
          </w:tcPr>
          <w:p w14:paraId="70726B9A" w14:textId="77777777" w:rsidR="00EA3EFA" w:rsidRPr="009349D7" w:rsidRDefault="00EA3EFA" w:rsidP="00EA3EFA">
            <w:pPr>
              <w:pStyle w:val="Rowheading"/>
            </w:pPr>
            <w:r w:rsidRPr="009349D7">
              <w:t>Background</w:t>
            </w:r>
          </w:p>
        </w:tc>
        <w:tc>
          <w:tcPr>
            <w:tcW w:w="7891" w:type="dxa"/>
          </w:tcPr>
          <w:p w14:paraId="63BED818" w14:textId="4B410830" w:rsidR="00EA3EFA" w:rsidRPr="009349D7" w:rsidRDefault="00EA3EFA" w:rsidP="00EA3EFA">
            <w:r w:rsidRPr="006C6A48">
              <w:t xml:space="preserve">The </w:t>
            </w:r>
            <w:r w:rsidRPr="0030299A">
              <w:t xml:space="preserve">British Society for Haematology </w:t>
            </w:r>
            <w:r>
              <w:t>(</w:t>
            </w:r>
            <w:r w:rsidRPr="006C6A48">
              <w:t>BSH</w:t>
            </w:r>
            <w:r>
              <w:t>)</w:t>
            </w:r>
            <w:r w:rsidRPr="006C6A48">
              <w:t xml:space="preserve"> has published guidance on </w:t>
            </w:r>
            <w:r w:rsidR="00706626">
              <w:t>t</w:t>
            </w:r>
            <w:r>
              <w:t xml:space="preserve">he </w:t>
            </w:r>
            <w:r w:rsidR="00706626">
              <w:t>m</w:t>
            </w:r>
            <w:r>
              <w:t xml:space="preserve">anagement of </w:t>
            </w:r>
            <w:r w:rsidR="00706626">
              <w:t>m</w:t>
            </w:r>
            <w:r>
              <w:t xml:space="preserve">yelofibrosis. </w:t>
            </w:r>
            <w:r w:rsidRPr="006C6A48">
              <w:t>This audit will review compliance with some of the main recommendations made.</w:t>
            </w:r>
          </w:p>
        </w:tc>
      </w:tr>
      <w:tr w:rsidR="00EA3EFA" w:rsidRPr="00077B16" w14:paraId="0F7C86E3" w14:textId="77777777" w:rsidTr="00EA3EFA">
        <w:trPr>
          <w:trHeight w:val="469"/>
        </w:trPr>
        <w:tc>
          <w:tcPr>
            <w:tcW w:w="1737" w:type="dxa"/>
          </w:tcPr>
          <w:p w14:paraId="4492C55B" w14:textId="121BA009" w:rsidR="00EA3EFA" w:rsidRPr="009349D7" w:rsidRDefault="00EA3EFA" w:rsidP="00EA3EFA">
            <w:pPr>
              <w:pStyle w:val="Rowheading"/>
            </w:pPr>
            <w:r w:rsidRPr="009349D7">
              <w:t>Aim &amp; objectives</w:t>
            </w:r>
          </w:p>
        </w:tc>
        <w:tc>
          <w:tcPr>
            <w:tcW w:w="7891" w:type="dxa"/>
          </w:tcPr>
          <w:p w14:paraId="7C9570A1" w14:textId="77777777" w:rsidR="00EA3EFA" w:rsidRPr="009349D7" w:rsidRDefault="00EA3EFA" w:rsidP="00EA3EFA">
            <w:r w:rsidRPr="009349D7">
              <w:t>This audit template is a tool to determine whether:</w:t>
            </w:r>
          </w:p>
          <w:p w14:paraId="4DAA0B33" w14:textId="1453291C" w:rsidR="00EA3EFA" w:rsidRPr="00100B15" w:rsidRDefault="00EA3EFA" w:rsidP="00100B15">
            <w:pPr>
              <w:pStyle w:val="ListParagraph"/>
              <w:tabs>
                <w:tab w:val="clear" w:pos="360"/>
              </w:tabs>
            </w:pPr>
            <w:r w:rsidRPr="00100B15">
              <w:t>patients with myelofibrosis are being generally managed in keeping with suggested BSH guidance.</w:t>
            </w:r>
          </w:p>
        </w:tc>
      </w:tr>
      <w:tr w:rsidR="00B338A0" w:rsidRPr="00077B16" w14:paraId="4FF25260" w14:textId="77777777" w:rsidTr="00EA3EFA">
        <w:trPr>
          <w:trHeight w:val="119"/>
        </w:trPr>
        <w:tc>
          <w:tcPr>
            <w:tcW w:w="1737" w:type="dxa"/>
          </w:tcPr>
          <w:p w14:paraId="374F6066" w14:textId="664AEB7E" w:rsidR="00B338A0" w:rsidRPr="009349D7" w:rsidRDefault="00B338A0" w:rsidP="00B338A0">
            <w:pPr>
              <w:pStyle w:val="Rowheading"/>
            </w:pPr>
            <w:r w:rsidRPr="009349D7">
              <w:t>Standards &amp; criteria</w:t>
            </w:r>
          </w:p>
        </w:tc>
        <w:tc>
          <w:tcPr>
            <w:tcW w:w="7891" w:type="dxa"/>
          </w:tcPr>
          <w:p w14:paraId="42AADE73" w14:textId="77777777" w:rsidR="00B338A0" w:rsidRPr="00904D1D" w:rsidRDefault="00B338A0" w:rsidP="00B338A0">
            <w:pPr>
              <w:rPr>
                <w:rFonts w:cs="Arial"/>
              </w:rPr>
            </w:pPr>
            <w:r w:rsidRPr="00CE49CA">
              <w:rPr>
                <w:rFonts w:cs="Arial"/>
                <w:b/>
                <w:bCs/>
              </w:rPr>
              <w:t>Criteria range</w:t>
            </w:r>
            <w:r w:rsidRPr="00904D1D">
              <w:rPr>
                <w:rFonts w:cs="Arial"/>
              </w:rPr>
              <w:t>: 100%, or if not achieved, there is documentation in the case notes that explains the variance.</w:t>
            </w:r>
          </w:p>
          <w:p w14:paraId="3024C31C" w14:textId="77777777" w:rsidR="00B338A0" w:rsidRPr="00F1228A" w:rsidRDefault="00B338A0" w:rsidP="00B338A0">
            <w:pPr>
              <w:rPr>
                <w:rFonts w:cs="Arial"/>
                <w:b/>
                <w:bCs/>
              </w:rPr>
            </w:pPr>
            <w:r w:rsidRPr="00F1228A">
              <w:rPr>
                <w:rFonts w:cs="Arial"/>
                <w:b/>
                <w:bCs/>
              </w:rPr>
              <w:t xml:space="preserve">Treatment with Janus kinase inhibitors </w:t>
            </w:r>
          </w:p>
          <w:p w14:paraId="0D5DE124" w14:textId="22D1A6A4" w:rsidR="00B338A0" w:rsidRPr="0065421E" w:rsidRDefault="00B338A0" w:rsidP="00B338A0">
            <w:pPr>
              <w:pStyle w:val="ListParagraph"/>
              <w:numPr>
                <w:ilvl w:val="0"/>
                <w:numId w:val="32"/>
              </w:numPr>
              <w:ind w:left="343"/>
              <w:rPr>
                <w:rFonts w:cs="Arial"/>
              </w:rPr>
            </w:pPr>
            <w:r w:rsidRPr="0065421E">
              <w:rPr>
                <w:rFonts w:cs="Arial"/>
              </w:rPr>
              <w:t>Ruxolitinib should be used in the treatment of myelofibrosis-related splenomegaly or symptoms</w:t>
            </w:r>
            <w:r>
              <w:rPr>
                <w:rFonts w:cs="Arial"/>
              </w:rPr>
              <w:t xml:space="preserve"> for eligible patients who have intermediate II or high</w:t>
            </w:r>
            <w:r w:rsidR="00BD11A6">
              <w:rPr>
                <w:rFonts w:cs="Arial"/>
              </w:rPr>
              <w:t>-</w:t>
            </w:r>
            <w:r>
              <w:rPr>
                <w:rFonts w:cs="Arial"/>
              </w:rPr>
              <w:t>risk disease and in keeping with National Institute for Health and Care Excellence (NICE) guidance</w:t>
            </w:r>
            <w:r w:rsidR="00451591">
              <w:rPr>
                <w:rFonts w:cs="Arial"/>
              </w:rPr>
              <w:t>.</w:t>
            </w:r>
          </w:p>
          <w:p w14:paraId="6592DEFE" w14:textId="7C51EB4A" w:rsidR="00B338A0" w:rsidRDefault="00B338A0" w:rsidP="00B338A0">
            <w:pPr>
              <w:pStyle w:val="ListParagraph"/>
              <w:numPr>
                <w:ilvl w:val="0"/>
                <w:numId w:val="32"/>
              </w:numPr>
              <w:ind w:left="343"/>
              <w:rPr>
                <w:rFonts w:cs="Arial"/>
              </w:rPr>
            </w:pPr>
            <w:r>
              <w:rPr>
                <w:rFonts w:cs="Arial"/>
              </w:rPr>
              <w:t>Hepatitis B and C, and human immunodeficiency virus (HIV) status should be assessed prior to treatment with ruxolitinib. Risk factors of mycobacterial infection and herpes zoster reactivation should also be evaluated</w:t>
            </w:r>
            <w:r w:rsidR="00451591">
              <w:rPr>
                <w:rFonts w:cs="Arial"/>
              </w:rPr>
              <w:t>.</w:t>
            </w:r>
          </w:p>
          <w:p w14:paraId="4E81A9F6" w14:textId="6DBC7A81" w:rsidR="00B338A0" w:rsidRDefault="00B338A0" w:rsidP="00B338A0">
            <w:pPr>
              <w:pStyle w:val="ListParagraph"/>
              <w:numPr>
                <w:ilvl w:val="0"/>
                <w:numId w:val="32"/>
              </w:numPr>
              <w:ind w:left="343"/>
              <w:rPr>
                <w:rFonts w:cs="Arial"/>
              </w:rPr>
            </w:pPr>
            <w:r>
              <w:rPr>
                <w:rFonts w:cs="Arial"/>
              </w:rPr>
              <w:lastRenderedPageBreak/>
              <w:t>Initial dosing should be regularly optimised by clinical assessment and blood count monitoring</w:t>
            </w:r>
            <w:r w:rsidR="00451591">
              <w:rPr>
                <w:rFonts w:cs="Arial"/>
              </w:rPr>
              <w:t>.</w:t>
            </w:r>
          </w:p>
          <w:p w14:paraId="5F622D97" w14:textId="72B4942E" w:rsidR="00B338A0" w:rsidRDefault="00B338A0" w:rsidP="00B338A0">
            <w:pPr>
              <w:pStyle w:val="ListParagraph"/>
              <w:numPr>
                <w:ilvl w:val="0"/>
                <w:numId w:val="32"/>
              </w:numPr>
              <w:ind w:left="343"/>
              <w:rPr>
                <w:rFonts w:cs="Arial"/>
              </w:rPr>
            </w:pPr>
            <w:r>
              <w:rPr>
                <w:rFonts w:cs="Arial"/>
              </w:rPr>
              <w:t>Spleen size assessment and objective symptom monitoring should be performed</w:t>
            </w:r>
            <w:r w:rsidR="00451591">
              <w:rPr>
                <w:rFonts w:cs="Arial"/>
              </w:rPr>
              <w:t>.</w:t>
            </w:r>
          </w:p>
          <w:p w14:paraId="547BD0EC" w14:textId="14A5A984" w:rsidR="00B338A0" w:rsidRPr="00904D1D" w:rsidRDefault="00B338A0" w:rsidP="00B338A0">
            <w:pPr>
              <w:pStyle w:val="ListParagraph"/>
              <w:numPr>
                <w:ilvl w:val="0"/>
                <w:numId w:val="32"/>
              </w:numPr>
              <w:ind w:left="343"/>
              <w:rPr>
                <w:rFonts w:cs="Arial"/>
              </w:rPr>
            </w:pPr>
            <w:r>
              <w:rPr>
                <w:rFonts w:cs="Arial"/>
              </w:rPr>
              <w:t>Ruxolitinib should not be stopped abruptly to avoid the possibility of systemic inflammatory response syndrome (SIRS)</w:t>
            </w:r>
            <w:r w:rsidR="00451591">
              <w:rPr>
                <w:rFonts w:cs="Arial"/>
              </w:rPr>
              <w:t>.</w:t>
            </w:r>
          </w:p>
          <w:p w14:paraId="2D0ACA1F" w14:textId="77777777" w:rsidR="00B338A0" w:rsidRPr="00F1228A" w:rsidRDefault="00B338A0" w:rsidP="00B338A0">
            <w:pPr>
              <w:ind w:left="-17"/>
              <w:rPr>
                <w:rFonts w:cs="Arial"/>
                <w:b/>
                <w:bCs/>
              </w:rPr>
            </w:pPr>
            <w:r w:rsidRPr="00F1228A">
              <w:rPr>
                <w:rFonts w:cs="Arial"/>
                <w:b/>
                <w:bCs/>
              </w:rPr>
              <w:t>Fedratinib</w:t>
            </w:r>
          </w:p>
          <w:p w14:paraId="11F8DFAE" w14:textId="5623F827" w:rsidR="00B338A0" w:rsidRDefault="00B338A0" w:rsidP="00B338A0">
            <w:pPr>
              <w:pStyle w:val="ListParagraph"/>
              <w:numPr>
                <w:ilvl w:val="0"/>
                <w:numId w:val="33"/>
              </w:numPr>
              <w:rPr>
                <w:rFonts w:cs="Arial"/>
              </w:rPr>
            </w:pPr>
            <w:r w:rsidRPr="00C24047">
              <w:rPr>
                <w:rFonts w:cs="Arial"/>
              </w:rPr>
              <w:t>Fedratinib</w:t>
            </w:r>
            <w:r>
              <w:rPr>
                <w:rFonts w:cs="Arial"/>
              </w:rPr>
              <w:t xml:space="preserve"> should be considered for patients with myelofibrosis for the treatment of disease-related splenomegaly and/or for patients who are resistant to or intolerant to ruxolitinib, in the 2</w:t>
            </w:r>
            <w:r w:rsidRPr="002A2333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line setting as per NICE guidance</w:t>
            </w:r>
            <w:r w:rsidR="00B21D61">
              <w:rPr>
                <w:rFonts w:cs="Arial"/>
              </w:rPr>
              <w:t>.</w:t>
            </w:r>
          </w:p>
          <w:p w14:paraId="13A9D694" w14:textId="3CF3D4F2" w:rsidR="00B338A0" w:rsidRDefault="00B338A0" w:rsidP="00B338A0">
            <w:pPr>
              <w:pStyle w:val="ListParagraph"/>
              <w:numPr>
                <w:ilvl w:val="0"/>
                <w:numId w:val="33"/>
              </w:numPr>
              <w:rPr>
                <w:rFonts w:cs="Arial"/>
              </w:rPr>
            </w:pPr>
            <w:r>
              <w:rPr>
                <w:rFonts w:cs="Arial"/>
              </w:rPr>
              <w:t>Blood thiamine levels should be measured prior to starting fedratinib and monitored during treatment, with replacement given if levels are lower than the local normal range</w:t>
            </w:r>
            <w:r w:rsidR="00B21D61">
              <w:rPr>
                <w:rFonts w:cs="Arial"/>
              </w:rPr>
              <w:t>.</w:t>
            </w:r>
          </w:p>
          <w:p w14:paraId="7599A05D" w14:textId="77777777" w:rsidR="00B338A0" w:rsidRPr="00F1228A" w:rsidRDefault="00B338A0" w:rsidP="00B338A0">
            <w:pPr>
              <w:ind w:left="-17"/>
              <w:rPr>
                <w:rFonts w:cs="Arial"/>
                <w:b/>
                <w:bCs/>
              </w:rPr>
            </w:pPr>
            <w:r w:rsidRPr="00F1228A">
              <w:rPr>
                <w:rFonts w:cs="Arial"/>
                <w:b/>
                <w:bCs/>
              </w:rPr>
              <w:t xml:space="preserve">Useful agents in certain circumstances </w:t>
            </w:r>
          </w:p>
          <w:p w14:paraId="21A9FD42" w14:textId="713D2D84" w:rsidR="00B338A0" w:rsidRDefault="00B338A0" w:rsidP="00B338A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Patients with anaemia associated with inadequate erythropoietin levels should be treated with a trial of </w:t>
            </w:r>
            <w:r w:rsidRPr="00AF2A9C">
              <w:rPr>
                <w:rFonts w:cs="Arial"/>
              </w:rPr>
              <w:t xml:space="preserve">erythropoiesis-stimulating agents (ESAs), </w:t>
            </w:r>
            <w:r>
              <w:rPr>
                <w:rFonts w:cs="Arial"/>
              </w:rPr>
              <w:t>with and without</w:t>
            </w:r>
            <w:r w:rsidRPr="00AF2A9C">
              <w:rPr>
                <w:rFonts w:cs="Arial"/>
              </w:rPr>
              <w:t xml:space="preserve"> ruxolitinib</w:t>
            </w:r>
            <w:r w:rsidR="00B21D61">
              <w:rPr>
                <w:rFonts w:cs="Arial"/>
              </w:rPr>
              <w:t>.</w:t>
            </w:r>
          </w:p>
          <w:p w14:paraId="11658EFE" w14:textId="5308067B" w:rsidR="00B338A0" w:rsidRDefault="00B338A0" w:rsidP="00B338A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9A5D64">
              <w:rPr>
                <w:rFonts w:cs="Arial"/>
              </w:rPr>
              <w:t xml:space="preserve">Patients with intermediate II or high risk </w:t>
            </w:r>
            <w:r>
              <w:rPr>
                <w:rFonts w:cs="Arial"/>
              </w:rPr>
              <w:t>myelofibrosis</w:t>
            </w:r>
            <w:r w:rsidRPr="009A5D64">
              <w:rPr>
                <w:rFonts w:cs="Arial"/>
              </w:rPr>
              <w:t xml:space="preserve"> with haemoglobin &lt;100g/L and disease related symptoms or splenomegaly</w:t>
            </w:r>
            <w:r>
              <w:rPr>
                <w:rFonts w:cs="Arial"/>
              </w:rPr>
              <w:t>,</w:t>
            </w:r>
            <w:r w:rsidRPr="009A5D64">
              <w:rPr>
                <w:rFonts w:cs="Arial"/>
              </w:rPr>
              <w:t xml:space="preserve"> should be treated with </w:t>
            </w:r>
            <w:r w:rsidRPr="00BC2896">
              <w:rPr>
                <w:rFonts w:cs="Arial"/>
              </w:rPr>
              <w:t xml:space="preserve">momelotinib </w:t>
            </w:r>
            <w:r w:rsidRPr="009A5D64">
              <w:rPr>
                <w:rFonts w:cs="Arial"/>
              </w:rPr>
              <w:t>in the 1</w:t>
            </w:r>
            <w:r w:rsidRPr="0083648F">
              <w:rPr>
                <w:rFonts w:cs="Arial"/>
                <w:vertAlign w:val="superscript"/>
              </w:rPr>
              <w:t>st</w:t>
            </w:r>
            <w:r w:rsidRPr="009A5D64">
              <w:rPr>
                <w:rFonts w:cs="Arial"/>
              </w:rPr>
              <w:t xml:space="preserve"> or 2</w:t>
            </w:r>
            <w:r w:rsidRPr="0083648F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</w:t>
            </w:r>
            <w:r w:rsidRPr="009A5D64">
              <w:rPr>
                <w:rFonts w:cs="Arial"/>
              </w:rPr>
              <w:t>line setting as per NICE guidance</w:t>
            </w:r>
            <w:r w:rsidR="00B21D61">
              <w:rPr>
                <w:rFonts w:cs="Arial"/>
              </w:rPr>
              <w:t>.</w:t>
            </w:r>
          </w:p>
          <w:p w14:paraId="002B5ABA" w14:textId="77777777" w:rsidR="00B338A0" w:rsidRPr="00F1228A" w:rsidRDefault="00B338A0" w:rsidP="00B338A0">
            <w:pPr>
              <w:ind w:left="-17"/>
              <w:rPr>
                <w:rFonts w:cs="Arial"/>
                <w:b/>
                <w:bCs/>
              </w:rPr>
            </w:pPr>
            <w:r w:rsidRPr="00F1228A">
              <w:rPr>
                <w:rFonts w:cs="Arial"/>
                <w:b/>
                <w:bCs/>
              </w:rPr>
              <w:t>Special situations</w:t>
            </w:r>
          </w:p>
          <w:p w14:paraId="1A444ABE" w14:textId="75ED7B51" w:rsidR="00B338A0" w:rsidRDefault="00B338A0" w:rsidP="00B338A0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All transplant-eligible patients should ideally be discussed early with a transplant centre regarding suitability and donor options</w:t>
            </w:r>
            <w:r w:rsidR="00B21D61">
              <w:rPr>
                <w:rFonts w:cs="Arial"/>
              </w:rPr>
              <w:t>.</w:t>
            </w:r>
          </w:p>
          <w:p w14:paraId="48F42534" w14:textId="73F508EF" w:rsidR="00B338A0" w:rsidRDefault="00B338A0" w:rsidP="00B338A0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Patients planned for allogenic-haematopoietic stem cell transplant (allo-HSCT) with bulky splenomegaly should undergo pretransplant therapy with Janus kinase inhibitors (JAKi) or be enrolled in a suitable clinical trial prior to allo-HSCT to maximise spleen response</w:t>
            </w:r>
            <w:r w:rsidR="00B21D61">
              <w:rPr>
                <w:rFonts w:cs="Arial"/>
              </w:rPr>
              <w:t>.</w:t>
            </w:r>
          </w:p>
          <w:p w14:paraId="59441D5A" w14:textId="5B5C033C" w:rsidR="00B338A0" w:rsidRDefault="00B338A0" w:rsidP="00B338A0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Patients w</w:t>
            </w:r>
            <w:r w:rsidRPr="000C6522">
              <w:rPr>
                <w:rFonts w:cs="Arial"/>
              </w:rPr>
              <w:t>ith iron overload</w:t>
            </w:r>
            <w:r>
              <w:rPr>
                <w:rFonts w:cs="Arial"/>
              </w:rPr>
              <w:t xml:space="preserve"> </w:t>
            </w:r>
            <w:r w:rsidRPr="000C6522">
              <w:rPr>
                <w:rFonts w:cs="Arial"/>
              </w:rPr>
              <w:t>should be given iron chelation if time permits</w:t>
            </w:r>
            <w:r w:rsidR="00B21D61">
              <w:rPr>
                <w:rFonts w:cs="Arial"/>
              </w:rPr>
              <w:t>.</w:t>
            </w:r>
          </w:p>
          <w:p w14:paraId="2526F378" w14:textId="1A64A77F" w:rsidR="00B338A0" w:rsidRDefault="00B338A0" w:rsidP="00B338A0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Where possible, allo-HSCT should be performed at the time of best response to a JAKi</w:t>
            </w:r>
            <w:r w:rsidR="00B21D61">
              <w:rPr>
                <w:rFonts w:cs="Arial"/>
              </w:rPr>
              <w:t>.</w:t>
            </w:r>
          </w:p>
          <w:p w14:paraId="6256FA0A" w14:textId="4E6313D3" w:rsidR="00B338A0" w:rsidRDefault="00B338A0" w:rsidP="00B338A0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Post-transplant measurable residual disease monitoring should be performed</w:t>
            </w:r>
            <w:r w:rsidR="00B21D61">
              <w:rPr>
                <w:rFonts w:cs="Arial"/>
              </w:rPr>
              <w:t>.</w:t>
            </w:r>
          </w:p>
          <w:p w14:paraId="3DC33B5B" w14:textId="77777777" w:rsidR="00B338A0" w:rsidRPr="00F1228A" w:rsidRDefault="00B338A0" w:rsidP="00B338A0">
            <w:pPr>
              <w:ind w:left="-17"/>
              <w:rPr>
                <w:rFonts w:cs="Arial"/>
                <w:b/>
                <w:bCs/>
              </w:rPr>
            </w:pPr>
            <w:r w:rsidRPr="00F1228A">
              <w:rPr>
                <w:rFonts w:cs="Arial"/>
                <w:b/>
                <w:bCs/>
              </w:rPr>
              <w:t>Accelerated and blast phase myelofibrosis</w:t>
            </w:r>
          </w:p>
          <w:p w14:paraId="05C8F737" w14:textId="49FC6B2E" w:rsidR="00B338A0" w:rsidRPr="00B65059" w:rsidRDefault="00B338A0" w:rsidP="00B338A0">
            <w:pPr>
              <w:pStyle w:val="ListParagraph"/>
              <w:numPr>
                <w:ilvl w:val="0"/>
                <w:numId w:val="39"/>
              </w:numPr>
              <w:rPr>
                <w:rFonts w:cs="Arial"/>
                <w:u w:val="single"/>
              </w:rPr>
            </w:pPr>
            <w:r>
              <w:rPr>
                <w:rFonts w:cs="Arial"/>
              </w:rPr>
              <w:t>Full</w:t>
            </w:r>
            <w:r w:rsidRPr="00B65059">
              <w:rPr>
                <w:rFonts w:cs="Arial"/>
              </w:rPr>
              <w:t xml:space="preserve"> assessment</w:t>
            </w:r>
            <w:r>
              <w:rPr>
                <w:rFonts w:cs="Arial"/>
              </w:rPr>
              <w:t>s</w:t>
            </w:r>
            <w:r w:rsidRPr="00B65059">
              <w:rPr>
                <w:rFonts w:cs="Arial"/>
              </w:rPr>
              <w:t xml:space="preserve"> should include single nucleotide polymorphism </w:t>
            </w:r>
            <w:r>
              <w:rPr>
                <w:rFonts w:cs="Arial"/>
              </w:rPr>
              <w:t xml:space="preserve">(SNP) </w:t>
            </w:r>
            <w:r w:rsidRPr="00B65059">
              <w:rPr>
                <w:rFonts w:cs="Arial"/>
              </w:rPr>
              <w:t>array/karyotype and an extended myeloid gene panel</w:t>
            </w:r>
            <w:r w:rsidR="00B21D61">
              <w:rPr>
                <w:rFonts w:cs="Arial"/>
              </w:rPr>
              <w:t>.</w:t>
            </w:r>
          </w:p>
          <w:p w14:paraId="7E6FA26A" w14:textId="73A8A245" w:rsidR="00B338A0" w:rsidRPr="00B338A0" w:rsidRDefault="00B338A0" w:rsidP="00B338A0">
            <w:pPr>
              <w:pStyle w:val="ListParagraph"/>
              <w:numPr>
                <w:ilvl w:val="0"/>
                <w:numId w:val="39"/>
              </w:numPr>
              <w:rPr>
                <w:rFonts w:cs="Arial"/>
                <w:u w:val="single"/>
              </w:rPr>
            </w:pPr>
            <w:r>
              <w:rPr>
                <w:rFonts w:cs="Arial"/>
              </w:rPr>
              <w:t>Patients eligible for a transplant should undergo human leukocyte antigen (HLA) typing and early referral to a stem cell transplant centre</w:t>
            </w:r>
            <w:r w:rsidR="00B21D61">
              <w:rPr>
                <w:rFonts w:cs="Arial"/>
              </w:rPr>
              <w:t>.</w:t>
            </w:r>
          </w:p>
          <w:p w14:paraId="44E2E830" w14:textId="1BB6C960" w:rsidR="00B338A0" w:rsidRPr="00B338A0" w:rsidRDefault="00B338A0" w:rsidP="00B338A0">
            <w:pPr>
              <w:pStyle w:val="ListParagraph"/>
              <w:numPr>
                <w:ilvl w:val="0"/>
                <w:numId w:val="39"/>
              </w:numPr>
              <w:rPr>
                <w:rFonts w:cs="Arial"/>
                <w:u w:val="single"/>
              </w:rPr>
            </w:pPr>
            <w:r w:rsidRPr="00B338A0">
              <w:rPr>
                <w:rFonts w:cs="Arial"/>
              </w:rPr>
              <w:t>Patients not eligible for a transplant should enter a clinical trial or receive hypomethylating agents (HMAs), with and without a JAKi for disease control. These patients should have an early introduction to holistic palliative care services</w:t>
            </w:r>
            <w:r>
              <w:rPr>
                <w:rFonts w:cs="Arial"/>
              </w:rPr>
              <w:t>.</w:t>
            </w:r>
          </w:p>
        </w:tc>
      </w:tr>
      <w:tr w:rsidR="00B338A0" w:rsidRPr="00077B16" w14:paraId="14094681" w14:textId="77777777" w:rsidTr="00EA3EFA">
        <w:trPr>
          <w:cantSplit/>
          <w:trHeight w:val="469"/>
        </w:trPr>
        <w:tc>
          <w:tcPr>
            <w:tcW w:w="1737" w:type="dxa"/>
          </w:tcPr>
          <w:p w14:paraId="1E4F1E05" w14:textId="77777777" w:rsidR="00B338A0" w:rsidRPr="009349D7" w:rsidRDefault="00B338A0" w:rsidP="00B338A0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B338A0" w:rsidRPr="009349D7" w:rsidRDefault="00B338A0" w:rsidP="00B338A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891" w:type="dxa"/>
          </w:tcPr>
          <w:p w14:paraId="06E9918F" w14:textId="7A7CDD5E" w:rsidR="00B338A0" w:rsidRPr="009349D7" w:rsidRDefault="00B338A0" w:rsidP="00B338A0">
            <w:pPr>
              <w:rPr>
                <w:b/>
              </w:rPr>
            </w:pPr>
            <w:r w:rsidRPr="009349D7">
              <w:rPr>
                <w:b/>
              </w:rPr>
              <w:t xml:space="preserve">Sample selection: </w:t>
            </w:r>
            <w:r w:rsidRPr="00952DFE">
              <w:rPr>
                <w:rStyle w:val="BodytextredfontChar"/>
              </w:rPr>
              <w:t>(To be completed by the author)</w:t>
            </w:r>
          </w:p>
          <w:p w14:paraId="12520EDC" w14:textId="322E4CB7" w:rsidR="00B338A0" w:rsidRPr="009349D7" w:rsidRDefault="00B338A0" w:rsidP="00B338A0">
            <w:pPr>
              <w:rPr>
                <w:b/>
                <w:color w:val="000000"/>
              </w:rPr>
            </w:pPr>
            <w:r w:rsidRPr="009349D7">
              <w:rPr>
                <w:bCs/>
              </w:rPr>
              <w:t xml:space="preserve">All </w:t>
            </w:r>
            <w:r>
              <w:rPr>
                <w:bCs/>
              </w:rPr>
              <w:t xml:space="preserve">patients diagnosed with myelofibrosis in the preceding 12 months </w:t>
            </w:r>
            <w:r w:rsidR="00433568">
              <w:rPr>
                <w:bCs/>
              </w:rPr>
              <w:t>up to a maximum of 20 consecutive patients.</w:t>
            </w:r>
            <w:r w:rsidRPr="00781C28">
              <w:rPr>
                <w:bCs/>
              </w:rPr>
              <w:t xml:space="preserve"> </w:t>
            </w:r>
          </w:p>
          <w:p w14:paraId="2E47D027" w14:textId="50EB6478" w:rsidR="00B338A0" w:rsidRPr="009349D7" w:rsidRDefault="00B338A0" w:rsidP="00B338A0">
            <w:pPr>
              <w:rPr>
                <w:b/>
                <w:color w:val="000000"/>
              </w:rPr>
            </w:pPr>
            <w:r w:rsidRPr="009349D7">
              <w:rPr>
                <w:b/>
                <w:color w:val="000000"/>
              </w:rPr>
              <w:t>Data to be collected on proforma (see below).</w:t>
            </w:r>
          </w:p>
        </w:tc>
      </w:tr>
      <w:tr w:rsidR="00B338A0" w:rsidRPr="00077B16" w14:paraId="4EF29E2B" w14:textId="77777777" w:rsidTr="00EA3EFA">
        <w:trPr>
          <w:trHeight w:val="469"/>
        </w:trPr>
        <w:tc>
          <w:tcPr>
            <w:tcW w:w="1737" w:type="dxa"/>
          </w:tcPr>
          <w:p w14:paraId="42E290A4" w14:textId="77777777" w:rsidR="00B338A0" w:rsidRPr="009349D7" w:rsidRDefault="00B338A0" w:rsidP="00B338A0">
            <w:pPr>
              <w:pStyle w:val="Rowheading"/>
            </w:pPr>
            <w:r w:rsidRPr="009349D7">
              <w:t>Results</w:t>
            </w:r>
          </w:p>
        </w:tc>
        <w:tc>
          <w:tcPr>
            <w:tcW w:w="7891" w:type="dxa"/>
          </w:tcPr>
          <w:p w14:paraId="08D3ABE3" w14:textId="77777777" w:rsidR="00B338A0" w:rsidRPr="009349D7" w:rsidRDefault="00B338A0" w:rsidP="00B338A0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B338A0" w:rsidRPr="009349D7" w:rsidRDefault="00B338A0" w:rsidP="00B338A0">
            <w:r w:rsidRPr="009349D7">
              <w:t>The results of this audit show the following compliance with the standards</w:t>
            </w:r>
            <w:r>
              <w:t>.</w:t>
            </w: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  <w:gridCol w:w="1276"/>
              <w:gridCol w:w="1417"/>
              <w:gridCol w:w="1582"/>
            </w:tblGrid>
            <w:tr w:rsidR="00E127D3" w:rsidRPr="009349D7" w14:paraId="624323B5" w14:textId="77777777" w:rsidTr="00703327">
              <w:trPr>
                <w:trHeight w:val="300"/>
              </w:trPr>
              <w:tc>
                <w:tcPr>
                  <w:tcW w:w="3390" w:type="dxa"/>
                </w:tcPr>
                <w:p w14:paraId="34647A79" w14:textId="609A4EE8" w:rsidR="00E127D3" w:rsidRPr="009349D7" w:rsidRDefault="00E127D3" w:rsidP="00E127D3">
                  <w:pPr>
                    <w:pStyle w:val="Tablecolumnheading"/>
                  </w:pPr>
                  <w:r>
                    <w:t>Investigation</w:t>
                  </w:r>
                </w:p>
              </w:tc>
              <w:tc>
                <w:tcPr>
                  <w:tcW w:w="1276" w:type="dxa"/>
                </w:tcPr>
                <w:p w14:paraId="407AE347" w14:textId="1698BF42" w:rsidR="00E127D3" w:rsidRPr="009349D7" w:rsidRDefault="00E127D3" w:rsidP="00E127D3">
                  <w:pPr>
                    <w:pStyle w:val="Tablecolumnheading"/>
                  </w:pPr>
                  <w:r w:rsidRPr="00257EDD">
                    <w:t>No. audited</w:t>
                  </w:r>
                </w:p>
              </w:tc>
              <w:tc>
                <w:tcPr>
                  <w:tcW w:w="1417" w:type="dxa"/>
                </w:tcPr>
                <w:p w14:paraId="484CF425" w14:textId="7CEE04F0" w:rsidR="00E127D3" w:rsidRPr="009349D7" w:rsidRDefault="00E127D3" w:rsidP="00E127D3">
                  <w:pPr>
                    <w:pStyle w:val="Tablecolumnheading"/>
                  </w:pPr>
                  <w:r w:rsidRPr="00257EDD">
                    <w:t>No. compliant</w:t>
                  </w:r>
                </w:p>
              </w:tc>
              <w:tc>
                <w:tcPr>
                  <w:tcW w:w="1582" w:type="dxa"/>
                </w:tcPr>
                <w:p w14:paraId="0DBB373F" w14:textId="7C9DAEEF" w:rsidR="00E127D3" w:rsidRPr="009349D7" w:rsidRDefault="00E127D3" w:rsidP="00E127D3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177C93" w:rsidRPr="009349D7" w14:paraId="26EEAC2E" w14:textId="77777777" w:rsidTr="00F53500">
              <w:trPr>
                <w:trHeight w:val="300"/>
              </w:trPr>
              <w:tc>
                <w:tcPr>
                  <w:tcW w:w="7665" w:type="dxa"/>
                  <w:gridSpan w:val="4"/>
                </w:tcPr>
                <w:p w14:paraId="3E06D38D" w14:textId="0FAA2D4C" w:rsidR="00177C93" w:rsidRPr="009349D7" w:rsidRDefault="00177C93" w:rsidP="003F1AAB">
                  <w:pPr>
                    <w:pStyle w:val="Rowheading"/>
                  </w:pPr>
                  <w:r w:rsidRPr="0054393D">
                    <w:t>Treatment with Janus kinase inhibitors</w:t>
                  </w:r>
                </w:p>
              </w:tc>
            </w:tr>
            <w:tr w:rsidR="00E127D3" w:rsidRPr="009349D7" w14:paraId="17E1314A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2D502007" w14:textId="190D579F" w:rsidR="00E127D3" w:rsidRPr="009349D7" w:rsidRDefault="00703327" w:rsidP="00703327">
                  <w:pPr>
                    <w:pStyle w:val="Numberedlist"/>
                  </w:pPr>
                  <w:r w:rsidRPr="0065421E">
                    <w:t xml:space="preserve">Ruxolitinib </w:t>
                  </w:r>
                  <w:r>
                    <w:t>was</w:t>
                  </w:r>
                  <w:r w:rsidRPr="0065421E">
                    <w:t xml:space="preserve"> used in the treatment of myelofibrosis-related splenomegaly or symptoms </w:t>
                  </w:r>
                  <w:r>
                    <w:t xml:space="preserve">for eligible patients who have intermediate II or </w:t>
                  </w:r>
                  <w:r w:rsidR="00A37A50">
                    <w:t>high-risk</w:t>
                  </w:r>
                  <w:r>
                    <w:t xml:space="preserve"> disease and in keeping with NICE guidance.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7E0257F5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7E768FB2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75E972AC" w14:textId="47937183" w:rsidR="00E127D3" w:rsidRPr="009349D7" w:rsidRDefault="00E127D3" w:rsidP="00E127D3">
                  <w:pPr>
                    <w:pStyle w:val="Tabletext"/>
                  </w:pPr>
                </w:p>
              </w:tc>
            </w:tr>
            <w:tr w:rsidR="00E127D3" w:rsidRPr="009349D7" w14:paraId="25559A8D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352CA0A7" w14:textId="67EB2DA5" w:rsidR="00E127D3" w:rsidRPr="009349D7" w:rsidRDefault="00AD387B" w:rsidP="00AD387B">
                  <w:pPr>
                    <w:pStyle w:val="Numberedlist"/>
                    <w:rPr>
                      <w:b/>
                      <w:bCs/>
                    </w:rPr>
                  </w:pPr>
                  <w:r w:rsidRPr="0054393D">
                    <w:lastRenderedPageBreak/>
                    <w:t>Hepatitis B and C</w:t>
                  </w:r>
                  <w:r>
                    <w:t>,</w:t>
                  </w:r>
                  <w:r w:rsidRPr="0054393D">
                    <w:t xml:space="preserve"> and HIV status </w:t>
                  </w:r>
                  <w:r>
                    <w:t>was</w:t>
                  </w:r>
                  <w:r w:rsidRPr="0054393D">
                    <w:t xml:space="preserve"> assessed prior to treatment with ruxolitinib. Risk factors of mycobacterial infection and herpes zoster reactivation </w:t>
                  </w:r>
                  <w:r>
                    <w:t>were</w:t>
                  </w:r>
                  <w:r w:rsidRPr="0054393D">
                    <w:t xml:space="preserve"> evaluated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19E53086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15F5F730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0C1BE610" w14:textId="43AB194A" w:rsidR="00E127D3" w:rsidRPr="009349D7" w:rsidRDefault="00E127D3" w:rsidP="00E127D3">
                  <w:pPr>
                    <w:pStyle w:val="Tabletext"/>
                  </w:pPr>
                </w:p>
              </w:tc>
            </w:tr>
            <w:tr w:rsidR="00E127D3" w:rsidRPr="009349D7" w14:paraId="24DC0D94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6016E98A" w14:textId="268DDB5E" w:rsidR="00E127D3" w:rsidRPr="009349D7" w:rsidRDefault="0054011A" w:rsidP="00AD387B">
                  <w:pPr>
                    <w:pStyle w:val="Numberedlist"/>
                  </w:pPr>
                  <w:r>
                    <w:t>Initial d</w:t>
                  </w:r>
                  <w:r w:rsidRPr="0054393D">
                    <w:t xml:space="preserve">osing </w:t>
                  </w:r>
                  <w:r>
                    <w:t>was</w:t>
                  </w:r>
                  <w:r w:rsidRPr="0054393D">
                    <w:t xml:space="preserve"> regularly optimised by clinical assessment and blood count monitoring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66E657A4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70393425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6A0A368F" w14:textId="5C1A18E0" w:rsidR="00E127D3" w:rsidRPr="009349D7" w:rsidRDefault="00E127D3" w:rsidP="00E127D3">
                  <w:pPr>
                    <w:pStyle w:val="Tabletext"/>
                  </w:pPr>
                </w:p>
              </w:tc>
            </w:tr>
            <w:tr w:rsidR="00E127D3" w:rsidRPr="009349D7" w14:paraId="0EC6E438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2901A362" w14:textId="490F32B3" w:rsidR="00E127D3" w:rsidRPr="009349D7" w:rsidRDefault="004230F5" w:rsidP="004230F5">
                  <w:pPr>
                    <w:pStyle w:val="Numberedlist"/>
                  </w:pPr>
                  <w:r w:rsidRPr="0054393D">
                    <w:t>Spleen size assessment and objective symptom monitoring was performed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65259C95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408350FE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3EE5BE6B" w14:textId="2E81B180" w:rsidR="00E127D3" w:rsidRPr="009349D7" w:rsidRDefault="00E127D3" w:rsidP="00E127D3">
                  <w:pPr>
                    <w:pStyle w:val="Tabletext"/>
                  </w:pPr>
                </w:p>
              </w:tc>
            </w:tr>
            <w:tr w:rsidR="00E127D3" w:rsidRPr="009349D7" w14:paraId="15FD2B11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7F2DE78C" w14:textId="19C4CFC4" w:rsidR="00E127D3" w:rsidRPr="009349D7" w:rsidRDefault="0025391D" w:rsidP="004230F5">
                  <w:pPr>
                    <w:pStyle w:val="Numberedlist"/>
                  </w:pPr>
                  <w:r w:rsidRPr="0054393D">
                    <w:t xml:space="preserve">Ruxolitinib </w:t>
                  </w:r>
                  <w:r>
                    <w:t>was</w:t>
                  </w:r>
                  <w:r w:rsidRPr="0054393D">
                    <w:t xml:space="preserve"> not stopped abruptly</w:t>
                  </w:r>
                  <w:r>
                    <w:t xml:space="preserve">, </w:t>
                  </w:r>
                  <w:r w:rsidRPr="0054393D">
                    <w:t>avoid</w:t>
                  </w:r>
                  <w:r>
                    <w:t>ing</w:t>
                  </w:r>
                  <w:r w:rsidRPr="0054393D">
                    <w:t xml:space="preserve"> the possibility of SIRS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0138C2F1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20D23053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1F18D056" w14:textId="5ED4B28A" w:rsidR="00E127D3" w:rsidRPr="009349D7" w:rsidRDefault="00E127D3" w:rsidP="00E127D3">
                  <w:pPr>
                    <w:pStyle w:val="Tabletext"/>
                  </w:pPr>
                </w:p>
              </w:tc>
            </w:tr>
            <w:tr w:rsidR="009D3DD1" w:rsidRPr="009349D7" w14:paraId="5350E8F4" w14:textId="77777777" w:rsidTr="007D4581">
              <w:trPr>
                <w:cantSplit/>
                <w:trHeight w:val="122"/>
              </w:trPr>
              <w:tc>
                <w:tcPr>
                  <w:tcW w:w="7665" w:type="dxa"/>
                  <w:gridSpan w:val="4"/>
                </w:tcPr>
                <w:p w14:paraId="7669C8FF" w14:textId="49C2940A" w:rsidR="009D3DD1" w:rsidRPr="009D3DD1" w:rsidRDefault="009D3DD1" w:rsidP="00591E8A">
                  <w:pPr>
                    <w:pStyle w:val="Rowheading"/>
                  </w:pPr>
                  <w:r w:rsidRPr="009D3DD1">
                    <w:t>Fedratinib</w:t>
                  </w:r>
                </w:p>
              </w:tc>
            </w:tr>
            <w:tr w:rsidR="00E127D3" w:rsidRPr="009349D7" w14:paraId="7DD9ACF3" w14:textId="77777777" w:rsidTr="003E5CB7">
              <w:trPr>
                <w:cantSplit/>
                <w:trHeight w:val="121"/>
              </w:trPr>
              <w:tc>
                <w:tcPr>
                  <w:tcW w:w="3390" w:type="dxa"/>
                </w:tcPr>
                <w:p w14:paraId="6205BE77" w14:textId="1A8A12D8" w:rsidR="00E127D3" w:rsidRPr="009349D7" w:rsidRDefault="00E25EC8" w:rsidP="00E25EC8">
                  <w:pPr>
                    <w:pStyle w:val="Numberedlist"/>
                    <w:numPr>
                      <w:ilvl w:val="0"/>
                      <w:numId w:val="41"/>
                    </w:numPr>
                    <w:ind w:left="425" w:hanging="425"/>
                  </w:pPr>
                  <w:r w:rsidRPr="00C24047">
                    <w:t>Fedratinib</w:t>
                  </w:r>
                  <w:r>
                    <w:t xml:space="preserve"> was considered for patients with myelofibrosis for the treatment of disease-related splenomegaly and/or for patients who were resistant to or intolerant to ruxolitinib in the 2</w:t>
                  </w:r>
                  <w:r w:rsidRPr="002A2333">
                    <w:rPr>
                      <w:vertAlign w:val="superscript"/>
                    </w:rPr>
                    <w:t>nd</w:t>
                  </w:r>
                  <w:r>
                    <w:t xml:space="preserve"> line setting as per NICE guidance.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64D359E0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44CA0CFD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1168D5AB" w14:textId="595FA1AB" w:rsidR="00E127D3" w:rsidRPr="009349D7" w:rsidRDefault="00E127D3" w:rsidP="00E127D3">
                  <w:pPr>
                    <w:pStyle w:val="Tabletext"/>
                  </w:pPr>
                </w:p>
              </w:tc>
            </w:tr>
            <w:tr w:rsidR="00E127D3" w:rsidRPr="009349D7" w14:paraId="163855E9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22CCF072" w14:textId="50801CB4" w:rsidR="00E127D3" w:rsidRPr="009349D7" w:rsidRDefault="00230F57" w:rsidP="00E25EC8">
                  <w:pPr>
                    <w:pStyle w:val="Numberedlist"/>
                  </w:pPr>
                  <w:r>
                    <w:t xml:space="preserve">Blood thiamine levels were measured prior to </w:t>
                  </w:r>
                  <w:r>
                    <w:lastRenderedPageBreak/>
                    <w:t>starting fedratinib and monitored during treatment, with replacement given if levels were lower than the local normal range.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2CEC35A3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120B3E06" w14:textId="77777777" w:rsidR="00E127D3" w:rsidRPr="009349D7" w:rsidRDefault="00E127D3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2B311D28" w14:textId="55755A04" w:rsidR="00E127D3" w:rsidRPr="009349D7" w:rsidRDefault="00E127D3" w:rsidP="00E127D3">
                  <w:pPr>
                    <w:pStyle w:val="Tabletext"/>
                  </w:pPr>
                </w:p>
              </w:tc>
            </w:tr>
            <w:tr w:rsidR="007E4C78" w:rsidRPr="009349D7" w14:paraId="73F88FA2" w14:textId="77777777" w:rsidTr="003E5CB7">
              <w:trPr>
                <w:trHeight w:val="300"/>
              </w:trPr>
              <w:tc>
                <w:tcPr>
                  <w:tcW w:w="7665" w:type="dxa"/>
                  <w:gridSpan w:val="4"/>
                  <w:shd w:val="clear" w:color="auto" w:fill="auto"/>
                </w:tcPr>
                <w:p w14:paraId="49C70ADD" w14:textId="2B53A4D2" w:rsidR="007E4C78" w:rsidRPr="009349D7" w:rsidRDefault="007E4C78" w:rsidP="00591E8A">
                  <w:pPr>
                    <w:pStyle w:val="Rowheading"/>
                  </w:pPr>
                  <w:r w:rsidRPr="0054393D">
                    <w:t>Useful agents in certain circumstances</w:t>
                  </w:r>
                </w:p>
              </w:tc>
            </w:tr>
            <w:tr w:rsidR="00230F57" w:rsidRPr="009349D7" w14:paraId="3B501D97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1C1E2E23" w14:textId="68409A90" w:rsidR="00230F57" w:rsidRDefault="00BC0F9F" w:rsidP="00230F57">
                  <w:pPr>
                    <w:pStyle w:val="Numberedlist"/>
                    <w:numPr>
                      <w:ilvl w:val="0"/>
                      <w:numId w:val="0"/>
                    </w:numPr>
                    <w:ind w:left="425" w:hanging="425"/>
                  </w:pPr>
                  <w:r w:rsidRPr="00BC0F9F">
                    <w:t>1.</w:t>
                  </w:r>
                  <w:r w:rsidRPr="00BC0F9F">
                    <w:tab/>
                    <w:t>Patients with anaemia associated with inadequate erythropoietin levels were treated with a trial of ESAs, with and without ruxolitinib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4CDCAE7C" w14:textId="77777777" w:rsidR="00230F57" w:rsidRPr="009349D7" w:rsidRDefault="00230F57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491EA69C" w14:textId="77777777" w:rsidR="00230F57" w:rsidRPr="009349D7" w:rsidRDefault="00230F57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37EA872A" w14:textId="77777777" w:rsidR="00230F57" w:rsidRPr="009349D7" w:rsidRDefault="00230F57" w:rsidP="00E127D3">
                  <w:pPr>
                    <w:pStyle w:val="Tabletext"/>
                  </w:pPr>
                </w:p>
              </w:tc>
            </w:tr>
            <w:tr w:rsidR="00230F57" w:rsidRPr="009349D7" w14:paraId="5C955F74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593E4A42" w14:textId="7D0978F2" w:rsidR="00230F57" w:rsidRDefault="00A12358" w:rsidP="00230F57">
                  <w:pPr>
                    <w:pStyle w:val="Numberedlist"/>
                    <w:numPr>
                      <w:ilvl w:val="0"/>
                      <w:numId w:val="0"/>
                    </w:numPr>
                    <w:ind w:left="425" w:hanging="425"/>
                  </w:pPr>
                  <w:r w:rsidRPr="00A12358">
                    <w:t>2.</w:t>
                  </w:r>
                  <w:r w:rsidRPr="00A12358">
                    <w:tab/>
                    <w:t xml:space="preserve">Patients with intermediate II or </w:t>
                  </w:r>
                  <w:r w:rsidR="00BD11A6" w:rsidRPr="00A12358">
                    <w:t>high-risk</w:t>
                  </w:r>
                  <w:r w:rsidRPr="00A12358">
                    <w:t xml:space="preserve"> myelofibrosis with haemoglobin &lt;100g/L and disease related symptoms or splenomegaly, were treated with momelotinib in the 1st or 2nd line setting as per NICE guidance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45B3A489" w14:textId="77777777" w:rsidR="00230F57" w:rsidRPr="009349D7" w:rsidRDefault="00230F57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17BBFE74" w14:textId="77777777" w:rsidR="00230F57" w:rsidRPr="009349D7" w:rsidRDefault="00230F57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221D6416" w14:textId="77777777" w:rsidR="00230F57" w:rsidRPr="009349D7" w:rsidRDefault="00230F57" w:rsidP="00E127D3">
                  <w:pPr>
                    <w:pStyle w:val="Tabletext"/>
                  </w:pPr>
                </w:p>
              </w:tc>
            </w:tr>
            <w:tr w:rsidR="00A12358" w:rsidRPr="009349D7" w14:paraId="66D3DD1C" w14:textId="77777777" w:rsidTr="003E5CB7">
              <w:trPr>
                <w:trHeight w:val="300"/>
              </w:trPr>
              <w:tc>
                <w:tcPr>
                  <w:tcW w:w="7665" w:type="dxa"/>
                  <w:gridSpan w:val="4"/>
                  <w:shd w:val="clear" w:color="auto" w:fill="auto"/>
                </w:tcPr>
                <w:p w14:paraId="55458388" w14:textId="7402E45B" w:rsidR="00A12358" w:rsidRPr="00591E8A" w:rsidRDefault="00A12358" w:rsidP="00591E8A">
                  <w:pPr>
                    <w:pStyle w:val="Rowheading"/>
                  </w:pPr>
                  <w:r w:rsidRPr="00591E8A">
                    <w:t>Special situations</w:t>
                  </w:r>
                </w:p>
              </w:tc>
            </w:tr>
            <w:tr w:rsidR="00BC0F9F" w:rsidRPr="009349D7" w14:paraId="305B33E5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0599D9D8" w14:textId="604882FF" w:rsidR="00BC0F9F" w:rsidRDefault="00100530" w:rsidP="00230F57">
                  <w:pPr>
                    <w:pStyle w:val="Numberedlist"/>
                    <w:numPr>
                      <w:ilvl w:val="0"/>
                      <w:numId w:val="0"/>
                    </w:numPr>
                    <w:ind w:left="425" w:hanging="425"/>
                  </w:pPr>
                  <w:r w:rsidRPr="00100530">
                    <w:t>1.</w:t>
                  </w:r>
                  <w:r w:rsidRPr="00100530">
                    <w:tab/>
                    <w:t>All transplant-eligible patients were discussed early with a transplant centre regarding suitability and donor options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7A46EEF5" w14:textId="77777777" w:rsidR="00BC0F9F" w:rsidRPr="009349D7" w:rsidRDefault="00BC0F9F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0E4A35C0" w14:textId="77777777" w:rsidR="00BC0F9F" w:rsidRPr="009349D7" w:rsidRDefault="00BC0F9F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4FFCCD42" w14:textId="77777777" w:rsidR="00BC0F9F" w:rsidRPr="009349D7" w:rsidRDefault="00BC0F9F" w:rsidP="00E127D3">
                  <w:pPr>
                    <w:pStyle w:val="Tabletext"/>
                  </w:pPr>
                </w:p>
              </w:tc>
            </w:tr>
            <w:tr w:rsidR="00BC0F9F" w:rsidRPr="009349D7" w14:paraId="7D730A2F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6988FF24" w14:textId="0D5CE454" w:rsidR="00BC0F9F" w:rsidRDefault="00760592" w:rsidP="00230F57">
                  <w:pPr>
                    <w:pStyle w:val="Numberedlist"/>
                    <w:numPr>
                      <w:ilvl w:val="0"/>
                      <w:numId w:val="0"/>
                    </w:numPr>
                    <w:ind w:left="425" w:hanging="425"/>
                  </w:pPr>
                  <w:r w:rsidRPr="00760592">
                    <w:t>2.</w:t>
                  </w:r>
                  <w:r w:rsidRPr="00760592">
                    <w:tab/>
                    <w:t xml:space="preserve">Patients planned for allo-HSCT with bulky </w:t>
                  </w:r>
                  <w:r w:rsidRPr="00760592">
                    <w:lastRenderedPageBreak/>
                    <w:t>splenomegaly should undergo pretransplant therapy with Janus kinase inhibitors (JAKi), or be enrolled in a suitable clinical trial prior to allo-HSCT to maximise spleen response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47B0ECA2" w14:textId="77777777" w:rsidR="00BC0F9F" w:rsidRPr="009349D7" w:rsidRDefault="00BC0F9F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6972D38C" w14:textId="77777777" w:rsidR="00BC0F9F" w:rsidRPr="009349D7" w:rsidRDefault="00BC0F9F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752A93BF" w14:textId="77777777" w:rsidR="00BC0F9F" w:rsidRPr="009349D7" w:rsidRDefault="00BC0F9F" w:rsidP="00E127D3">
                  <w:pPr>
                    <w:pStyle w:val="Tabletext"/>
                  </w:pPr>
                </w:p>
              </w:tc>
            </w:tr>
            <w:tr w:rsidR="00100530" w:rsidRPr="009349D7" w14:paraId="1BA361A6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3F0EC5DB" w14:textId="7BFA9F44" w:rsidR="00100530" w:rsidRDefault="009805FE" w:rsidP="00230F57">
                  <w:pPr>
                    <w:pStyle w:val="Numberedlist"/>
                    <w:numPr>
                      <w:ilvl w:val="0"/>
                      <w:numId w:val="0"/>
                    </w:numPr>
                    <w:ind w:left="425" w:hanging="425"/>
                  </w:pPr>
                  <w:r w:rsidRPr="009805FE">
                    <w:t>3.</w:t>
                  </w:r>
                  <w:r w:rsidRPr="009805FE">
                    <w:tab/>
                    <w:t>Patients with iron overload were given iron chelation if time permitted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34C92DA3" w14:textId="77777777" w:rsidR="00100530" w:rsidRPr="009349D7" w:rsidRDefault="00100530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24E8A035" w14:textId="77777777" w:rsidR="00100530" w:rsidRPr="009349D7" w:rsidRDefault="00100530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0B56CA81" w14:textId="77777777" w:rsidR="00100530" w:rsidRPr="009349D7" w:rsidRDefault="00100530" w:rsidP="00E127D3">
                  <w:pPr>
                    <w:pStyle w:val="Tabletext"/>
                  </w:pPr>
                </w:p>
              </w:tc>
            </w:tr>
            <w:tr w:rsidR="00100530" w:rsidRPr="009349D7" w14:paraId="26714203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0588FA68" w14:textId="75DFE0CB" w:rsidR="00100530" w:rsidRDefault="00897987" w:rsidP="00230F57">
                  <w:pPr>
                    <w:pStyle w:val="Numberedlist"/>
                    <w:numPr>
                      <w:ilvl w:val="0"/>
                      <w:numId w:val="0"/>
                    </w:numPr>
                    <w:ind w:left="425" w:hanging="425"/>
                  </w:pPr>
                  <w:r w:rsidRPr="00897987">
                    <w:t>4.</w:t>
                  </w:r>
                  <w:r w:rsidRPr="00897987">
                    <w:tab/>
                    <w:t>Where possible, allo-HSCT was performed at the time of best response to a JAKi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72FB08D2" w14:textId="77777777" w:rsidR="00100530" w:rsidRPr="009349D7" w:rsidRDefault="00100530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238E6477" w14:textId="77777777" w:rsidR="00100530" w:rsidRPr="009349D7" w:rsidRDefault="00100530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28B0EC98" w14:textId="77777777" w:rsidR="00100530" w:rsidRPr="009349D7" w:rsidRDefault="00100530" w:rsidP="00E127D3">
                  <w:pPr>
                    <w:pStyle w:val="Tabletext"/>
                  </w:pPr>
                </w:p>
              </w:tc>
            </w:tr>
            <w:tr w:rsidR="00100530" w:rsidRPr="009349D7" w14:paraId="1C119849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2BA6A68A" w14:textId="14A6F4AE" w:rsidR="00100530" w:rsidRDefault="0058430D" w:rsidP="0058430D">
                  <w:pPr>
                    <w:pStyle w:val="Numberedlist"/>
                    <w:numPr>
                      <w:ilvl w:val="0"/>
                      <w:numId w:val="0"/>
                    </w:numPr>
                    <w:ind w:left="425" w:hanging="425"/>
                  </w:pPr>
                  <w:r w:rsidRPr="0058430D">
                    <w:t>5.</w:t>
                  </w:r>
                  <w:r w:rsidRPr="0058430D">
                    <w:tab/>
                    <w:t>Post-transplant measurable residual disease monitoring was performed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334FC0D8" w14:textId="77777777" w:rsidR="00100530" w:rsidRPr="009349D7" w:rsidRDefault="00100530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15A5E79A" w14:textId="77777777" w:rsidR="00100530" w:rsidRPr="009349D7" w:rsidRDefault="00100530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18B2BD37" w14:textId="77777777" w:rsidR="00100530" w:rsidRPr="009349D7" w:rsidRDefault="00100530" w:rsidP="00E127D3">
                  <w:pPr>
                    <w:pStyle w:val="Tabletext"/>
                  </w:pPr>
                </w:p>
              </w:tc>
            </w:tr>
            <w:tr w:rsidR="007F44FB" w:rsidRPr="009349D7" w14:paraId="4E4D0E04" w14:textId="77777777" w:rsidTr="003E5CB7">
              <w:trPr>
                <w:trHeight w:val="300"/>
              </w:trPr>
              <w:tc>
                <w:tcPr>
                  <w:tcW w:w="7665" w:type="dxa"/>
                  <w:gridSpan w:val="4"/>
                  <w:shd w:val="clear" w:color="auto" w:fill="auto"/>
                </w:tcPr>
                <w:p w14:paraId="0A9697DF" w14:textId="3B6A61C2" w:rsidR="007F44FB" w:rsidRPr="009349D7" w:rsidRDefault="007F44FB" w:rsidP="003F1AAB">
                  <w:pPr>
                    <w:pStyle w:val="Rowheading"/>
                  </w:pPr>
                  <w:r w:rsidRPr="00F24BB8">
                    <w:t>Accelerated and blast phase myelofibrosis</w:t>
                  </w:r>
                </w:p>
              </w:tc>
            </w:tr>
            <w:tr w:rsidR="00BC0F9F" w:rsidRPr="009349D7" w14:paraId="30921E06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686BA5E0" w14:textId="1D155651" w:rsidR="00BC0F9F" w:rsidRDefault="006324C5" w:rsidP="00230F57">
                  <w:pPr>
                    <w:pStyle w:val="Numberedlist"/>
                    <w:numPr>
                      <w:ilvl w:val="0"/>
                      <w:numId w:val="0"/>
                    </w:numPr>
                    <w:ind w:left="425" w:hanging="425"/>
                  </w:pPr>
                  <w:r w:rsidRPr="006324C5">
                    <w:t>1.</w:t>
                  </w:r>
                  <w:r w:rsidRPr="006324C5">
                    <w:tab/>
                    <w:t>Full assessments included SNP array/karyotype and an extended myeloid gene panel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04C77EAF" w14:textId="77777777" w:rsidR="00BC0F9F" w:rsidRPr="009349D7" w:rsidRDefault="00BC0F9F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7453C029" w14:textId="77777777" w:rsidR="00BC0F9F" w:rsidRPr="009349D7" w:rsidRDefault="00BC0F9F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4BFFD4C3" w14:textId="77777777" w:rsidR="00BC0F9F" w:rsidRPr="009349D7" w:rsidRDefault="00BC0F9F" w:rsidP="00E127D3">
                  <w:pPr>
                    <w:pStyle w:val="Tabletext"/>
                  </w:pPr>
                </w:p>
              </w:tc>
            </w:tr>
            <w:tr w:rsidR="007F44FB" w:rsidRPr="009349D7" w14:paraId="05AFDA8B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668898D0" w14:textId="071E8BE5" w:rsidR="007F44FB" w:rsidRDefault="00865A47" w:rsidP="00230F57">
                  <w:pPr>
                    <w:pStyle w:val="Numberedlist"/>
                    <w:numPr>
                      <w:ilvl w:val="0"/>
                      <w:numId w:val="0"/>
                    </w:numPr>
                    <w:ind w:left="425" w:hanging="425"/>
                  </w:pPr>
                  <w:r w:rsidRPr="00865A47">
                    <w:t>2.</w:t>
                  </w:r>
                  <w:r w:rsidRPr="00865A47">
                    <w:tab/>
                    <w:t>Patients eligible for a transplant underwent HLA typing and early referral to a stem cell transplant centre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215B5681" w14:textId="77777777" w:rsidR="007F44FB" w:rsidRPr="009349D7" w:rsidRDefault="007F44FB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48125EC4" w14:textId="77777777" w:rsidR="007F44FB" w:rsidRPr="009349D7" w:rsidRDefault="007F44FB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03CA5F1F" w14:textId="77777777" w:rsidR="007F44FB" w:rsidRPr="009349D7" w:rsidRDefault="007F44FB" w:rsidP="00E127D3">
                  <w:pPr>
                    <w:pStyle w:val="Tabletext"/>
                  </w:pPr>
                </w:p>
              </w:tc>
            </w:tr>
            <w:tr w:rsidR="007F44FB" w:rsidRPr="009349D7" w14:paraId="7597105A" w14:textId="77777777" w:rsidTr="003E5CB7">
              <w:trPr>
                <w:trHeight w:val="300"/>
              </w:trPr>
              <w:tc>
                <w:tcPr>
                  <w:tcW w:w="3390" w:type="dxa"/>
                </w:tcPr>
                <w:p w14:paraId="179B007A" w14:textId="1003A1CD" w:rsidR="007F44FB" w:rsidRDefault="00B055D6" w:rsidP="00230F57">
                  <w:pPr>
                    <w:pStyle w:val="Numberedlist"/>
                    <w:numPr>
                      <w:ilvl w:val="0"/>
                      <w:numId w:val="0"/>
                    </w:numPr>
                    <w:ind w:left="425" w:hanging="425"/>
                  </w:pPr>
                  <w:r w:rsidRPr="00B055D6">
                    <w:lastRenderedPageBreak/>
                    <w:t>3.</w:t>
                  </w:r>
                  <w:r w:rsidRPr="00B055D6">
                    <w:tab/>
                    <w:t>Patients not eligible for a transplant entered a clinical trial or received HMAs, with and without a JAKi. These patients had an early introduction to holistic palliative care services</w:t>
                  </w:r>
                  <w:r>
                    <w:t>.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306E0B3C" w14:textId="77777777" w:rsidR="007F44FB" w:rsidRPr="009349D7" w:rsidRDefault="007F44FB" w:rsidP="00E127D3">
                  <w:pPr>
                    <w:pStyle w:val="Tabletext"/>
                  </w:pPr>
                </w:p>
              </w:tc>
              <w:tc>
                <w:tcPr>
                  <w:tcW w:w="1417" w:type="dxa"/>
                </w:tcPr>
                <w:p w14:paraId="08B1B825" w14:textId="77777777" w:rsidR="007F44FB" w:rsidRPr="009349D7" w:rsidRDefault="007F44FB" w:rsidP="00E127D3">
                  <w:pPr>
                    <w:pStyle w:val="Tabletext"/>
                  </w:pPr>
                </w:p>
              </w:tc>
              <w:tc>
                <w:tcPr>
                  <w:tcW w:w="1582" w:type="dxa"/>
                </w:tcPr>
                <w:p w14:paraId="24F21186" w14:textId="77777777" w:rsidR="007F44FB" w:rsidRPr="009349D7" w:rsidRDefault="007F44FB" w:rsidP="00E127D3">
                  <w:pPr>
                    <w:pStyle w:val="Tabletext"/>
                  </w:pPr>
                </w:p>
              </w:tc>
            </w:tr>
          </w:tbl>
          <w:p w14:paraId="3689BFB0" w14:textId="77777777" w:rsidR="00B338A0" w:rsidRPr="009349D7" w:rsidRDefault="00B338A0" w:rsidP="00591E8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</w:p>
          <w:p w14:paraId="33C1ABC1" w14:textId="1821AEB8" w:rsidR="00B338A0" w:rsidRPr="0029610F" w:rsidRDefault="00B338A0" w:rsidP="00B338A0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B338A0" w:rsidRPr="009349D7" w:rsidRDefault="00B338A0" w:rsidP="00B338A0">
            <w:pPr>
              <w:rPr>
                <w:rFonts w:cs="Arial"/>
                <w:b/>
                <w:szCs w:val="24"/>
              </w:rPr>
            </w:pPr>
          </w:p>
        </w:tc>
      </w:tr>
      <w:tr w:rsidR="00B338A0" w:rsidRPr="00077B16" w14:paraId="0B06E3F0" w14:textId="77777777" w:rsidTr="00EA3EFA">
        <w:trPr>
          <w:trHeight w:val="469"/>
        </w:trPr>
        <w:tc>
          <w:tcPr>
            <w:tcW w:w="1737" w:type="dxa"/>
          </w:tcPr>
          <w:p w14:paraId="4CAABCEC" w14:textId="77777777" w:rsidR="00B338A0" w:rsidRPr="009349D7" w:rsidRDefault="00B338A0" w:rsidP="00B338A0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891" w:type="dxa"/>
          </w:tcPr>
          <w:p w14:paraId="54F6617D" w14:textId="2A569065" w:rsidR="00B338A0" w:rsidRPr="009349D7" w:rsidRDefault="00B338A0" w:rsidP="00B338A0">
            <w:pPr>
              <w:pStyle w:val="Bodytextredfont"/>
            </w:pPr>
            <w:r w:rsidRPr="009349D7">
              <w:t>(To be completed by the author)</w:t>
            </w:r>
          </w:p>
        </w:tc>
      </w:tr>
      <w:tr w:rsidR="00B338A0" w:rsidRPr="00077B16" w14:paraId="5BF6DC79" w14:textId="77777777" w:rsidTr="00EA3EFA">
        <w:trPr>
          <w:trHeight w:val="58"/>
        </w:trPr>
        <w:tc>
          <w:tcPr>
            <w:tcW w:w="1737" w:type="dxa"/>
          </w:tcPr>
          <w:p w14:paraId="22631467" w14:textId="77777777" w:rsidR="00B338A0" w:rsidRPr="009349D7" w:rsidRDefault="00B338A0" w:rsidP="00B338A0">
            <w:pPr>
              <w:pStyle w:val="Rowheading"/>
            </w:pPr>
            <w:r w:rsidRPr="009349D7">
              <w:t>Recommend-</w:t>
            </w:r>
            <w:r w:rsidRPr="009349D7">
              <w:br/>
              <w:t>ations for improvement</w:t>
            </w:r>
          </w:p>
          <w:p w14:paraId="4E127F52" w14:textId="77777777" w:rsidR="00B338A0" w:rsidRPr="009349D7" w:rsidRDefault="00B338A0" w:rsidP="00B338A0">
            <w:pPr>
              <w:pStyle w:val="Rowheading"/>
            </w:pPr>
          </w:p>
          <w:p w14:paraId="7AD9482C" w14:textId="77777777" w:rsidR="00B338A0" w:rsidRPr="009349D7" w:rsidRDefault="00B338A0" w:rsidP="00B338A0">
            <w:pPr>
              <w:pStyle w:val="Rowheading"/>
            </w:pPr>
          </w:p>
          <w:p w14:paraId="6ED49695" w14:textId="77777777" w:rsidR="00B338A0" w:rsidRPr="009349D7" w:rsidRDefault="00B338A0" w:rsidP="00B338A0">
            <w:pPr>
              <w:pStyle w:val="Rowheading"/>
            </w:pPr>
          </w:p>
        </w:tc>
        <w:tc>
          <w:tcPr>
            <w:tcW w:w="7891" w:type="dxa"/>
          </w:tcPr>
          <w:p w14:paraId="6CA1B6E8" w14:textId="75044DDB" w:rsidR="00B338A0" w:rsidRPr="009349D7" w:rsidRDefault="00B338A0" w:rsidP="00B338A0">
            <w:r w:rsidRPr="009349D7">
              <w:t>Present the result with recommendations, actions and responsibilities for action and a timescale for implementation. Assign a person(s) responsible to do the work within a timeframe.</w:t>
            </w:r>
          </w:p>
          <w:p w14:paraId="12F2C7F6" w14:textId="77777777" w:rsidR="00B338A0" w:rsidRPr="0029610F" w:rsidRDefault="00B338A0" w:rsidP="00B338A0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06EDEE94" w14:textId="77777777" w:rsidR="00B338A0" w:rsidRPr="0029610F" w:rsidRDefault="00B338A0" w:rsidP="00B338A0">
            <w:pPr>
              <w:pStyle w:val="ListParagraph"/>
            </w:pPr>
            <w:r w:rsidRPr="0029610F">
              <w:t>highlight areas of practice that are different</w:t>
            </w:r>
          </w:p>
          <w:p w14:paraId="1C0DE42A" w14:textId="63EF759E" w:rsidR="00B338A0" w:rsidRPr="009349D7" w:rsidRDefault="00B338A0" w:rsidP="00B338A0">
            <w:pPr>
              <w:pStyle w:val="ListParagraph"/>
            </w:pPr>
            <w:r w:rsidRPr="0029610F">
              <w:t>present findings.</w:t>
            </w:r>
          </w:p>
        </w:tc>
      </w:tr>
      <w:tr w:rsidR="00B338A0" w:rsidRPr="00077B16" w14:paraId="3AB83BB0" w14:textId="77777777" w:rsidTr="00EA3EFA">
        <w:trPr>
          <w:trHeight w:val="58"/>
        </w:trPr>
        <w:tc>
          <w:tcPr>
            <w:tcW w:w="1737" w:type="dxa"/>
          </w:tcPr>
          <w:p w14:paraId="7B1DBC85" w14:textId="1FF56588" w:rsidR="00B338A0" w:rsidRPr="009349D7" w:rsidRDefault="00B338A0" w:rsidP="00B338A0">
            <w:pPr>
              <w:pStyle w:val="Rowheading"/>
            </w:pPr>
            <w:r w:rsidRPr="009349D7">
              <w:t>Action plan</w:t>
            </w:r>
          </w:p>
        </w:tc>
        <w:tc>
          <w:tcPr>
            <w:tcW w:w="7891" w:type="dxa"/>
          </w:tcPr>
          <w:p w14:paraId="3ED634E6" w14:textId="3A02274B" w:rsidR="00B338A0" w:rsidRPr="009349D7" w:rsidRDefault="00B338A0" w:rsidP="00B338A0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B338A0" w:rsidRPr="00077B16" w14:paraId="2456F3A2" w14:textId="77777777" w:rsidTr="00EA3EFA">
        <w:trPr>
          <w:trHeight w:val="58"/>
        </w:trPr>
        <w:tc>
          <w:tcPr>
            <w:tcW w:w="1737" w:type="dxa"/>
          </w:tcPr>
          <w:p w14:paraId="2874F728" w14:textId="77777777" w:rsidR="00B338A0" w:rsidRPr="009349D7" w:rsidRDefault="00B338A0" w:rsidP="00B338A0">
            <w:pPr>
              <w:pStyle w:val="Rowheading"/>
            </w:pPr>
            <w:r w:rsidRPr="009349D7">
              <w:t>Re-audit date</w:t>
            </w:r>
          </w:p>
        </w:tc>
        <w:tc>
          <w:tcPr>
            <w:tcW w:w="7891" w:type="dxa"/>
          </w:tcPr>
          <w:p w14:paraId="2A3A9445" w14:textId="77777777" w:rsidR="00B338A0" w:rsidRPr="009349D7" w:rsidRDefault="00B338A0" w:rsidP="00B338A0">
            <w:pPr>
              <w:pStyle w:val="Bodytextredfont"/>
            </w:pPr>
            <w:r w:rsidRPr="009349D7">
              <w:t>(To be completed by the author)</w:t>
            </w:r>
          </w:p>
        </w:tc>
      </w:tr>
      <w:tr w:rsidR="00B338A0" w:rsidRPr="00077B16" w14:paraId="7E5BF0AE" w14:textId="77777777" w:rsidTr="00EA3EFA">
        <w:trPr>
          <w:trHeight w:val="469"/>
        </w:trPr>
        <w:tc>
          <w:tcPr>
            <w:tcW w:w="1737" w:type="dxa"/>
          </w:tcPr>
          <w:p w14:paraId="6DDCB30D" w14:textId="4FB705CA" w:rsidR="00B338A0" w:rsidRPr="009349D7" w:rsidRDefault="00B338A0" w:rsidP="00B338A0">
            <w:pPr>
              <w:pStyle w:val="Rowheading"/>
            </w:pPr>
            <w:r w:rsidRPr="009349D7">
              <w:t>References</w:t>
            </w:r>
          </w:p>
          <w:p w14:paraId="36CD5C27" w14:textId="16D11343" w:rsidR="00B338A0" w:rsidRPr="009349D7" w:rsidRDefault="00B338A0" w:rsidP="00B338A0">
            <w:pPr>
              <w:pStyle w:val="Rowheading"/>
            </w:pPr>
          </w:p>
        </w:tc>
        <w:tc>
          <w:tcPr>
            <w:tcW w:w="7891" w:type="dxa"/>
          </w:tcPr>
          <w:p w14:paraId="7F5516E3" w14:textId="37E70C73" w:rsidR="00B338A0" w:rsidRPr="00876760" w:rsidRDefault="00960F3D" w:rsidP="00960F3D">
            <w:pPr>
              <w:pStyle w:val="Numberedlist"/>
              <w:numPr>
                <w:ilvl w:val="0"/>
                <w:numId w:val="43"/>
              </w:numPr>
              <w:ind w:left="425" w:hanging="425"/>
            </w:pPr>
            <w:r>
              <w:rPr>
                <w:rFonts w:cs="Times New Roman"/>
                <w:bCs/>
                <w:noProof/>
                <w:lang w:val="en-US"/>
              </w:rPr>
              <w:fldChar w:fldCharType="begin"/>
            </w:r>
            <w:r>
              <w:rPr>
                <w:bCs/>
              </w:rPr>
              <w:instrText xml:space="preserve"> ADDIN EN.REFLIST </w:instrText>
            </w:r>
            <w:r>
              <w:rPr>
                <w:rFonts w:cs="Times New Roman"/>
                <w:bCs/>
                <w:noProof/>
                <w:lang w:val="en-US"/>
              </w:rPr>
              <w:fldChar w:fldCharType="separate"/>
            </w:r>
            <w:r w:rsidRPr="00E97048">
              <w:t>McLornan DP, Psaila B, Ewing J, Innes A, Arami S, Brady J</w:t>
            </w:r>
            <w:r w:rsidRPr="00E97048">
              <w:rPr>
                <w:i/>
              </w:rPr>
              <w:t xml:space="preserve"> et al.</w:t>
            </w:r>
            <w:r w:rsidRPr="00E97048">
              <w:t xml:space="preserve"> The management of myelofibrosis: A </w:t>
            </w:r>
            <w:r>
              <w:t>B</w:t>
            </w:r>
            <w:r w:rsidRPr="00E97048">
              <w:t xml:space="preserve">ritish </w:t>
            </w:r>
            <w:r>
              <w:t>S</w:t>
            </w:r>
            <w:r w:rsidRPr="00E97048">
              <w:t xml:space="preserve">ociety for </w:t>
            </w:r>
            <w:r>
              <w:t>H</w:t>
            </w:r>
            <w:r w:rsidRPr="00E97048">
              <w:t xml:space="preserve">aematology guideline. </w:t>
            </w:r>
            <w:r w:rsidRPr="00E97048">
              <w:rPr>
                <w:i/>
              </w:rPr>
              <w:t>Br J Haematol</w:t>
            </w:r>
            <w:r w:rsidRPr="00E97048">
              <w:t xml:space="preserve"> 2024;204:136–150.</w:t>
            </w:r>
            <w:r>
              <w:rPr>
                <w:bCs/>
              </w:rPr>
              <w:fldChar w:fldCharType="end"/>
            </w:r>
          </w:p>
        </w:tc>
      </w:tr>
    </w:tbl>
    <w:p w14:paraId="3DBDFA0A" w14:textId="39C3868C" w:rsidR="009929C5" w:rsidRPr="001F037A" w:rsidRDefault="00860AF9" w:rsidP="001F037A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581F0C">
        <w:t>patients (</w:t>
      </w:r>
      <w:r w:rsidR="00726F62">
        <w:t>t</w:t>
      </w:r>
      <w:r w:rsidR="00581F0C">
        <w:t xml:space="preserve">he </w:t>
      </w:r>
      <w:r w:rsidR="00E12977">
        <w:t>m</w:t>
      </w:r>
      <w:r w:rsidR="00581F0C">
        <w:t xml:space="preserve">anagement of </w:t>
      </w:r>
      <w:r w:rsidR="00E12977">
        <w:t>m</w:t>
      </w:r>
      <w:r w:rsidR="00581F0C">
        <w:t>yelofibrosis</w:t>
      </w:r>
      <w:r w:rsidR="00E12977">
        <w:t>)</w:t>
      </w:r>
    </w:p>
    <w:p w14:paraId="3C2E1AFD" w14:textId="5C7D09E8" w:rsidR="00253E1A" w:rsidRPr="009349D7" w:rsidRDefault="009929C5" w:rsidP="001F037A">
      <w:pPr>
        <w:pStyle w:val="Heading2"/>
      </w:pPr>
      <w:r w:rsidRPr="009349D7">
        <w:t xml:space="preserve">Audit reviewing </w:t>
      </w:r>
      <w:r w:rsidR="00581F0C">
        <w:t>practice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77098E25" w14:textId="1FCA2C71" w:rsidR="00BF12ED" w:rsidRPr="009349D7" w:rsidRDefault="00BF12ED" w:rsidP="001F037A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34579EE0" w14:textId="2A17AA5E" w:rsidR="007637F5" w:rsidRPr="009349D7" w:rsidRDefault="00BF12ED" w:rsidP="001F037A">
      <w:r w:rsidRPr="009349D7">
        <w:t>Consultant:</w:t>
      </w:r>
    </w:p>
    <w:p w14:paraId="4030B05B" w14:textId="136FE3E9" w:rsidR="00603ECE" w:rsidRPr="001F037A" w:rsidRDefault="0051663B" w:rsidP="001F037A">
      <w:r w:rsidRPr="009349D7">
        <w:t xml:space="preserve">Case number: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6"/>
        <w:gridCol w:w="644"/>
        <w:gridCol w:w="567"/>
        <w:gridCol w:w="2403"/>
        <w:gridCol w:w="2644"/>
      </w:tblGrid>
      <w:tr w:rsidR="00581F0C" w:rsidRPr="00077B16" w14:paraId="096252DE" w14:textId="77777777" w:rsidTr="00581F0C">
        <w:trPr>
          <w:cantSplit/>
          <w:trHeight w:val="128"/>
        </w:trPr>
        <w:tc>
          <w:tcPr>
            <w:tcW w:w="3596" w:type="dxa"/>
            <w:tcBorders>
              <w:bottom w:val="single" w:sz="4" w:space="0" w:color="auto"/>
            </w:tcBorders>
          </w:tcPr>
          <w:p w14:paraId="26EA664E" w14:textId="6739CE31" w:rsidR="006B091F" w:rsidRPr="001F037A" w:rsidRDefault="00581F0C" w:rsidP="001F037A">
            <w:pPr>
              <w:pStyle w:val="Tabletext"/>
            </w:pPr>
            <w:r>
              <w:t>Standard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0963909C" w14:textId="77777777" w:rsidR="006B091F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1</w:t>
            </w:r>
          </w:p>
          <w:p w14:paraId="4BAF7515" w14:textId="7FB9F99E" w:rsidR="006B091F" w:rsidRPr="00581F0C" w:rsidRDefault="00581F0C" w:rsidP="001F037A">
            <w:pPr>
              <w:pStyle w:val="Tabletext"/>
              <w:rPr>
                <w:b/>
                <w:bCs/>
              </w:rPr>
            </w:pPr>
            <w:r w:rsidRPr="00581F0C">
              <w:rPr>
                <w:b/>
                <w:bCs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2B7A40" w14:textId="77777777" w:rsidR="006B091F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2</w:t>
            </w:r>
          </w:p>
          <w:p w14:paraId="0FFDB801" w14:textId="7F7465A5" w:rsidR="006B091F" w:rsidRPr="00581F0C" w:rsidRDefault="00581F0C" w:rsidP="001F037A">
            <w:pPr>
              <w:pStyle w:val="Tabletext"/>
              <w:rPr>
                <w:b/>
                <w:bCs/>
              </w:rPr>
            </w:pPr>
            <w:r w:rsidRPr="00581F0C">
              <w:rPr>
                <w:b/>
                <w:bCs/>
              </w:rPr>
              <w:t>No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1388AE2C" w14:textId="77777777" w:rsidR="0051663B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3</w:t>
            </w:r>
            <w:r w:rsidRPr="001F037A">
              <w:rPr>
                <w:b/>
              </w:rPr>
              <w:tab/>
            </w:r>
          </w:p>
          <w:p w14:paraId="7D8E7D1C" w14:textId="4E624E78" w:rsidR="006B091F" w:rsidRPr="00781C28" w:rsidRDefault="00581F0C" w:rsidP="001F037A">
            <w:pPr>
              <w:pStyle w:val="Tabletext"/>
            </w:pPr>
            <w:r>
              <w:t xml:space="preserve">If shaded box not ticked, was there documentation to explain the variance? </w:t>
            </w:r>
            <w:r w:rsidRPr="00581F0C">
              <w:rPr>
                <w:b/>
                <w:bCs/>
              </w:rPr>
              <w:t>Yes</w:t>
            </w:r>
            <w:r w:rsidRPr="00581F0C">
              <w:t>/</w:t>
            </w:r>
            <w:r w:rsidRPr="00581F0C">
              <w:rPr>
                <w:b/>
                <w:bCs/>
              </w:rPr>
              <w:t>No</w:t>
            </w:r>
            <w:r>
              <w:t xml:space="preserve"> plus free-text comment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14:paraId="3C031C85" w14:textId="77777777" w:rsidR="00F43B1C" w:rsidRPr="001F037A" w:rsidRDefault="12496189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4</w:t>
            </w:r>
            <w:r w:rsidR="006B091F" w:rsidRPr="001F037A">
              <w:rPr>
                <w:b/>
              </w:rPr>
              <w:tab/>
            </w:r>
          </w:p>
          <w:p w14:paraId="620DF179" w14:textId="6341D4C2" w:rsidR="006B091F" w:rsidRPr="001F037A" w:rsidRDefault="12496189" w:rsidP="001F037A">
            <w:pPr>
              <w:pStyle w:val="Tabletext"/>
              <w:rPr>
                <w:b/>
              </w:rPr>
            </w:pPr>
            <w:r w:rsidRPr="00781C28">
              <w:t xml:space="preserve">Compliant with guideline </w:t>
            </w:r>
            <w:r w:rsidR="00581F0C">
              <w:t xml:space="preserve">if shaded box ticked or an appropriate explanation from column 3. </w:t>
            </w:r>
            <w:r w:rsidR="00962491" w:rsidRPr="001F037A">
              <w:rPr>
                <w:b/>
              </w:rPr>
              <w:t>Y</w:t>
            </w:r>
            <w:r w:rsidRPr="001F037A">
              <w:rPr>
                <w:b/>
              </w:rPr>
              <w:t>es</w:t>
            </w:r>
            <w:r w:rsidRPr="00581F0C">
              <w:rPr>
                <w:bCs/>
              </w:rPr>
              <w:t>/</w:t>
            </w:r>
            <w:r w:rsidR="00962491" w:rsidRPr="001F037A">
              <w:rPr>
                <w:b/>
              </w:rPr>
              <w:t>N</w:t>
            </w:r>
            <w:r w:rsidRPr="001F037A">
              <w:rPr>
                <w:b/>
              </w:rPr>
              <w:t>o</w:t>
            </w:r>
          </w:p>
          <w:p w14:paraId="5E62A50A" w14:textId="6DCF1467" w:rsidR="006B091F" w:rsidRPr="00581F0C" w:rsidRDefault="12496189" w:rsidP="001F037A">
            <w:pPr>
              <w:pStyle w:val="Tabletext"/>
              <w:rPr>
                <w:bCs/>
              </w:rPr>
            </w:pPr>
            <w:r w:rsidRPr="00581F0C">
              <w:rPr>
                <w:bCs/>
              </w:rPr>
              <w:t>(</w:t>
            </w:r>
            <w:r w:rsidR="00581F0C" w:rsidRPr="00581F0C">
              <w:rPr>
                <w:bCs/>
              </w:rPr>
              <w:t>Record if standard not applicable</w:t>
            </w:r>
            <w:r w:rsidRPr="00581F0C">
              <w:rPr>
                <w:bCs/>
              </w:rPr>
              <w:t>)</w:t>
            </w:r>
          </w:p>
        </w:tc>
      </w:tr>
      <w:tr w:rsidR="00581F0C" w:rsidRPr="00077B16" w14:paraId="68DFAF5C" w14:textId="77777777" w:rsidTr="00FF5351">
        <w:trPr>
          <w:cantSplit/>
          <w:trHeight w:val="5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088C" w14:textId="50217B1F" w:rsidR="00581F0C" w:rsidRPr="00077B16" w:rsidRDefault="00581F0C" w:rsidP="009029F9">
            <w:pPr>
              <w:pStyle w:val="Rowheading"/>
              <w:rPr>
                <w:bCs/>
              </w:rPr>
            </w:pPr>
            <w:r>
              <w:t>Treatment w</w:t>
            </w:r>
            <w:r w:rsidR="00CA1557">
              <w:t>ith Janus kinase inhibitors</w:t>
            </w:r>
          </w:p>
        </w:tc>
      </w:tr>
      <w:tr w:rsidR="00581F0C" w:rsidRPr="00077B16" w14:paraId="281C1E04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B8" w14:textId="7A75C657" w:rsidR="00590DC3" w:rsidRPr="00077B16" w:rsidRDefault="00AB552E" w:rsidP="001F037A">
            <w:pPr>
              <w:pStyle w:val="Tabletext"/>
              <w:rPr>
                <w:color w:val="FF0000"/>
              </w:rPr>
            </w:pPr>
            <w:r w:rsidRPr="00E3219D">
              <w:rPr>
                <w:b/>
                <w:bCs/>
              </w:rPr>
              <w:t>1  </w:t>
            </w:r>
            <w:r w:rsidRPr="00AB552E">
              <w:t>Ruxolitinib was used in the treatment of myelofibrosis-related splenomegaly or symptoms for eligible patients who have intermediate II or high</w:t>
            </w:r>
            <w:r w:rsidR="00BD11A6">
              <w:t>-</w:t>
            </w:r>
            <w:r w:rsidRPr="00AB552E">
              <w:t>risk disease and in keeping with NICE guidance</w:t>
            </w:r>
            <w: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673BE0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A16469" w:rsidRPr="00077B16" w14:paraId="3CB1828E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92E" w14:textId="1569B3D0" w:rsidR="00A16469" w:rsidRPr="00077B16" w:rsidRDefault="00A16469" w:rsidP="00A16469">
            <w:pPr>
              <w:pStyle w:val="Tabletext"/>
              <w:rPr>
                <w:b/>
                <w:bCs/>
              </w:rPr>
            </w:pPr>
            <w:r w:rsidRPr="00E3219D">
              <w:rPr>
                <w:b/>
                <w:bCs/>
              </w:rPr>
              <w:t>2  </w:t>
            </w:r>
            <w:r w:rsidRPr="0054393D">
              <w:rPr>
                <w:color w:val="000000"/>
              </w:rPr>
              <w:t>Hepatitis B and C</w:t>
            </w:r>
            <w:r>
              <w:rPr>
                <w:color w:val="000000"/>
              </w:rPr>
              <w:t>,</w:t>
            </w:r>
            <w:r w:rsidRPr="0054393D">
              <w:rPr>
                <w:color w:val="000000"/>
              </w:rPr>
              <w:t xml:space="preserve"> and HIV status </w:t>
            </w:r>
            <w:r>
              <w:rPr>
                <w:color w:val="000000"/>
              </w:rPr>
              <w:t>was</w:t>
            </w:r>
            <w:r w:rsidRPr="0054393D">
              <w:rPr>
                <w:color w:val="000000"/>
              </w:rPr>
              <w:t xml:space="preserve"> assessed prior to treatment with ruxolitinib. Risk factors of mycobacterial infection and herpes zoster reactivation </w:t>
            </w:r>
            <w:r>
              <w:rPr>
                <w:color w:val="000000"/>
              </w:rPr>
              <w:t>were</w:t>
            </w:r>
            <w:r w:rsidRPr="0054393D">
              <w:rPr>
                <w:color w:val="000000"/>
              </w:rPr>
              <w:t xml:space="preserve"> evaluated</w:t>
            </w:r>
            <w:r>
              <w:rPr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DC5FBA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</w:tr>
      <w:tr w:rsidR="00A16469" w:rsidRPr="00077B16" w14:paraId="0251DA41" w14:textId="77777777" w:rsidTr="00AB552E">
        <w:trPr>
          <w:cantSplit/>
          <w:trHeight w:val="7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F5E" w14:textId="1323F733" w:rsidR="00A16469" w:rsidRPr="00077B16" w:rsidRDefault="00A16469" w:rsidP="00A16469">
            <w:pPr>
              <w:pStyle w:val="Tabletext"/>
            </w:pPr>
            <w:r w:rsidRPr="00E3219D">
              <w:rPr>
                <w:b/>
                <w:bCs/>
              </w:rPr>
              <w:t>3  </w:t>
            </w:r>
            <w:r w:rsidRPr="00E74C28">
              <w:t>Initial dosing</w:t>
            </w:r>
            <w:r w:rsidRPr="0054393D">
              <w:t xml:space="preserve"> </w:t>
            </w:r>
            <w:r>
              <w:t>was</w:t>
            </w:r>
            <w:r w:rsidRPr="0054393D">
              <w:t xml:space="preserve"> regularly optimised by clinical assessment and blood count monitoring</w:t>
            </w:r>
            <w: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F36B17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610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78C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</w:tr>
      <w:tr w:rsidR="00A16469" w:rsidRPr="00077B16" w14:paraId="7CE77257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65CF21B0" w:rsidR="00A16469" w:rsidRPr="00077B16" w:rsidRDefault="00A16469" w:rsidP="00A16469">
            <w:pPr>
              <w:pStyle w:val="Tabletext"/>
            </w:pPr>
            <w:r w:rsidRPr="00E3219D">
              <w:rPr>
                <w:b/>
              </w:rPr>
              <w:t>4  </w:t>
            </w:r>
            <w:r w:rsidRPr="0054393D">
              <w:t>Spleen size assessment and objective symptom monitoring was performed</w:t>
            </w:r>
            <w: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254730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</w:tr>
      <w:tr w:rsidR="00A16469" w:rsidRPr="00077B16" w14:paraId="339C338B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D41" w14:textId="564C45B0" w:rsidR="00A16469" w:rsidRPr="00077B16" w:rsidRDefault="00A16469" w:rsidP="00A16469">
            <w:pPr>
              <w:pStyle w:val="Tabletext"/>
            </w:pPr>
            <w:r>
              <w:rPr>
                <w:b/>
              </w:rPr>
              <w:lastRenderedPageBreak/>
              <w:t>5  </w:t>
            </w:r>
            <w:r w:rsidRPr="0054393D">
              <w:t xml:space="preserve">Ruxolitinib </w:t>
            </w:r>
            <w:r>
              <w:t>was</w:t>
            </w:r>
            <w:r w:rsidRPr="0054393D">
              <w:t xml:space="preserve"> not stopped abruptly</w:t>
            </w:r>
            <w:r>
              <w:t>,</w:t>
            </w:r>
            <w:r w:rsidRPr="0054393D">
              <w:t xml:space="preserve"> avoid</w:t>
            </w:r>
            <w:r>
              <w:t>ing</w:t>
            </w:r>
            <w:r w:rsidRPr="0054393D">
              <w:t xml:space="preserve"> the possibility of SIRS</w:t>
            </w:r>
            <w: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7864F3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C0E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D64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A09" w14:textId="77777777" w:rsidR="00A16469" w:rsidRPr="00077B16" w:rsidRDefault="00A16469" w:rsidP="00A16469">
            <w:pPr>
              <w:pStyle w:val="Tabletext"/>
              <w:rPr>
                <w:b/>
                <w:bCs/>
              </w:rPr>
            </w:pPr>
          </w:p>
        </w:tc>
      </w:tr>
      <w:tr w:rsidR="00E534F5" w:rsidRPr="00077B16" w14:paraId="5E79D2C8" w14:textId="77777777" w:rsidTr="008B2226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9D8" w14:textId="53A1013F" w:rsidR="00E534F5" w:rsidRPr="00077B16" w:rsidRDefault="008F471C" w:rsidP="009029F9">
            <w:pPr>
              <w:pStyle w:val="Rowheading"/>
              <w:rPr>
                <w:bCs/>
              </w:rPr>
            </w:pPr>
            <w:r w:rsidRPr="00013AE4">
              <w:t>Fedratinib</w:t>
            </w:r>
          </w:p>
        </w:tc>
      </w:tr>
      <w:tr w:rsidR="009029F9" w:rsidRPr="00077B16" w14:paraId="4055AAB7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F28" w14:textId="25BB79DC" w:rsidR="009029F9" w:rsidRPr="00077B16" w:rsidRDefault="009029F9" w:rsidP="009029F9">
            <w:pPr>
              <w:pStyle w:val="Tabletext"/>
              <w:rPr>
                <w:color w:val="FF0000"/>
              </w:rPr>
            </w:pPr>
            <w:r w:rsidRPr="00E3219D">
              <w:rPr>
                <w:b/>
                <w:bCs/>
              </w:rPr>
              <w:t>1  </w:t>
            </w:r>
            <w:r w:rsidRPr="00C24047">
              <w:t>Fedratinib</w:t>
            </w:r>
            <w:r>
              <w:t xml:space="preserve"> was considered for patients with myelofibrosis for the treatment of disease-related splenomegaly and/or for patients who were resistant to or intolerant to ruxolitinib in the 2</w:t>
            </w:r>
            <w:r w:rsidRPr="002A2333">
              <w:rPr>
                <w:vertAlign w:val="superscript"/>
              </w:rPr>
              <w:t>nd</w:t>
            </w:r>
            <w:r>
              <w:t xml:space="preserve"> line setting as per NICE guidance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55C59C" w14:textId="77777777" w:rsidR="009029F9" w:rsidRPr="00077B16" w:rsidRDefault="009029F9" w:rsidP="009029F9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E5E" w14:textId="77777777" w:rsidR="009029F9" w:rsidRPr="00077B16" w:rsidRDefault="009029F9" w:rsidP="009029F9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B92" w14:textId="77777777" w:rsidR="009029F9" w:rsidRPr="00077B16" w:rsidRDefault="009029F9" w:rsidP="009029F9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E90" w14:textId="77777777" w:rsidR="009029F9" w:rsidRPr="00077B16" w:rsidRDefault="009029F9" w:rsidP="009029F9">
            <w:pPr>
              <w:pStyle w:val="Tabletext"/>
              <w:rPr>
                <w:b/>
                <w:bCs/>
              </w:rPr>
            </w:pPr>
          </w:p>
        </w:tc>
      </w:tr>
      <w:tr w:rsidR="009029F9" w:rsidRPr="00077B16" w14:paraId="1D045AA4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5C" w14:textId="243EC185" w:rsidR="009029F9" w:rsidRPr="00077B16" w:rsidRDefault="009029F9" w:rsidP="009029F9">
            <w:pPr>
              <w:pStyle w:val="Tabletext"/>
            </w:pPr>
            <w:r>
              <w:rPr>
                <w:b/>
                <w:bCs/>
              </w:rPr>
              <w:t>2  </w:t>
            </w:r>
            <w:r>
              <w:t>Blood thiamine levels were measured prior to starting fedratinib and monitored during treatment, with replacement given if levels were lower than the local normal range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D72CF6" w14:textId="77777777" w:rsidR="009029F9" w:rsidRPr="00077B16" w:rsidRDefault="009029F9" w:rsidP="009029F9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83C" w14:textId="77777777" w:rsidR="009029F9" w:rsidRPr="00077B16" w:rsidRDefault="009029F9" w:rsidP="009029F9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7C" w14:textId="77777777" w:rsidR="009029F9" w:rsidRPr="00077B16" w:rsidRDefault="009029F9" w:rsidP="009029F9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DA" w14:textId="77777777" w:rsidR="009029F9" w:rsidRPr="00077B16" w:rsidRDefault="009029F9" w:rsidP="009029F9">
            <w:pPr>
              <w:pStyle w:val="Tabletext"/>
              <w:rPr>
                <w:b/>
                <w:bCs/>
              </w:rPr>
            </w:pPr>
          </w:p>
        </w:tc>
      </w:tr>
      <w:tr w:rsidR="009029F9" w:rsidRPr="00077B16" w14:paraId="4420D969" w14:textId="77777777" w:rsidTr="007E2942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98A" w14:textId="06E06103" w:rsidR="009029F9" w:rsidRPr="00077B16" w:rsidRDefault="00272AEA" w:rsidP="00272AEA">
            <w:pPr>
              <w:pStyle w:val="Rowheading"/>
              <w:rPr>
                <w:bCs/>
              </w:rPr>
            </w:pPr>
            <w:r w:rsidRPr="0054393D">
              <w:t>Useful agents in certain circumstances</w:t>
            </w:r>
          </w:p>
        </w:tc>
      </w:tr>
      <w:tr w:rsidR="00423323" w:rsidRPr="00077B16" w14:paraId="3262F634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8A9" w14:textId="005CDDE3" w:rsidR="00423323" w:rsidRPr="00077B16" w:rsidRDefault="00423323" w:rsidP="00423323">
            <w:pPr>
              <w:pStyle w:val="Tabletext"/>
            </w:pPr>
            <w:r>
              <w:rPr>
                <w:b/>
                <w:bCs/>
                <w:iCs/>
              </w:rPr>
              <w:t>1</w:t>
            </w:r>
            <w:r w:rsidRPr="00E3219D">
              <w:rPr>
                <w:b/>
                <w:bCs/>
                <w:iCs/>
              </w:rPr>
              <w:t>  </w:t>
            </w:r>
            <w:r>
              <w:t xml:space="preserve">Patients with anaemia associated with inadequate erythropoietin levels were treated with a trial of </w:t>
            </w:r>
            <w:r w:rsidRPr="00AF2A9C">
              <w:t xml:space="preserve">ESAs, </w:t>
            </w:r>
            <w:r>
              <w:t>with and without</w:t>
            </w:r>
            <w:r w:rsidRPr="00AF2A9C">
              <w:t xml:space="preserve"> ruxolitinib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58FB3A" w14:textId="77777777" w:rsidR="00423323" w:rsidRPr="00077B16" w:rsidRDefault="00423323" w:rsidP="00423323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620" w14:textId="77777777" w:rsidR="00423323" w:rsidRPr="00077B16" w:rsidRDefault="00423323" w:rsidP="00423323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C3D" w14:textId="77777777" w:rsidR="00423323" w:rsidRPr="00077B16" w:rsidRDefault="00423323" w:rsidP="00423323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5FF" w14:textId="77777777" w:rsidR="00423323" w:rsidRPr="00077B16" w:rsidRDefault="00423323" w:rsidP="00423323">
            <w:pPr>
              <w:pStyle w:val="Tabletext"/>
              <w:rPr>
                <w:b/>
                <w:bCs/>
              </w:rPr>
            </w:pPr>
          </w:p>
        </w:tc>
      </w:tr>
      <w:tr w:rsidR="00423323" w:rsidRPr="00077B16" w14:paraId="5375EB38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612" w14:textId="7A5B1417" w:rsidR="00423323" w:rsidRPr="00077B16" w:rsidRDefault="00423323" w:rsidP="00423323">
            <w:pPr>
              <w:pStyle w:val="Tabletext"/>
            </w:pPr>
            <w:r>
              <w:rPr>
                <w:b/>
                <w:bCs/>
                <w:color w:val="000000"/>
              </w:rPr>
              <w:t>2</w:t>
            </w:r>
            <w:r w:rsidRPr="00E3219D">
              <w:rPr>
                <w:b/>
                <w:bCs/>
                <w:color w:val="000000"/>
              </w:rPr>
              <w:t>  </w:t>
            </w:r>
            <w:r w:rsidRPr="007F39B8">
              <w:t>Patients with intermediate II or high</w:t>
            </w:r>
            <w:r w:rsidR="00BD11A6">
              <w:t>-</w:t>
            </w:r>
            <w:r w:rsidRPr="007F39B8">
              <w:t>risk myelofibrosis with haemoglobin &lt;100g/L and disease related symptoms or splenomegaly</w:t>
            </w:r>
            <w:r>
              <w:t>,</w:t>
            </w:r>
            <w:r w:rsidRPr="007F39B8">
              <w:t xml:space="preserve"> </w:t>
            </w:r>
            <w:r>
              <w:t>wer</w:t>
            </w:r>
            <w:r w:rsidRPr="007F39B8">
              <w:t xml:space="preserve">e treated with </w:t>
            </w:r>
            <w:r w:rsidRPr="00BC2896">
              <w:t xml:space="preserve">momelotinib </w:t>
            </w:r>
            <w:r w:rsidRPr="007F39B8">
              <w:t>in the 1</w:t>
            </w:r>
            <w:r w:rsidRPr="007F39B8">
              <w:rPr>
                <w:vertAlign w:val="superscript"/>
              </w:rPr>
              <w:t>st</w:t>
            </w:r>
            <w:r>
              <w:t xml:space="preserve"> </w:t>
            </w:r>
            <w:r w:rsidRPr="007F39B8">
              <w:t>or 2</w:t>
            </w:r>
            <w:r w:rsidRPr="007F39B8">
              <w:rPr>
                <w:vertAlign w:val="superscript"/>
              </w:rPr>
              <w:t>nd</w:t>
            </w:r>
            <w:r>
              <w:t xml:space="preserve"> </w:t>
            </w:r>
            <w:r w:rsidRPr="007F39B8">
              <w:t>line setting as per NICE guidance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6BDE77" w14:textId="77777777" w:rsidR="00423323" w:rsidRPr="00077B16" w:rsidRDefault="00423323" w:rsidP="00423323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179" w14:textId="77777777" w:rsidR="00423323" w:rsidRPr="00077B16" w:rsidRDefault="00423323" w:rsidP="00423323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B6B" w14:textId="77777777" w:rsidR="00423323" w:rsidRPr="00077B16" w:rsidRDefault="00423323" w:rsidP="00423323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742" w14:textId="77777777" w:rsidR="00423323" w:rsidRPr="00077B16" w:rsidRDefault="00423323" w:rsidP="00423323">
            <w:pPr>
              <w:pStyle w:val="Tabletext"/>
              <w:rPr>
                <w:b/>
                <w:bCs/>
              </w:rPr>
            </w:pPr>
          </w:p>
        </w:tc>
      </w:tr>
      <w:tr w:rsidR="00423323" w:rsidRPr="00077B16" w14:paraId="77ACD80C" w14:textId="77777777" w:rsidTr="002F467E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23C" w14:textId="7A473B7E" w:rsidR="00423323" w:rsidRPr="00077B16" w:rsidRDefault="00423323" w:rsidP="00423323">
            <w:pPr>
              <w:pStyle w:val="Rowheading"/>
            </w:pPr>
            <w:r>
              <w:t>Special situations</w:t>
            </w:r>
          </w:p>
        </w:tc>
      </w:tr>
      <w:tr w:rsidR="006C16F8" w:rsidRPr="00077B16" w14:paraId="5B5FE2CF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3AA" w14:textId="6B838023" w:rsidR="006C16F8" w:rsidRPr="00077B16" w:rsidRDefault="006C16F8" w:rsidP="006C16F8">
            <w:pPr>
              <w:pStyle w:val="Tabletext"/>
            </w:pPr>
            <w:r>
              <w:rPr>
                <w:rFonts w:cs="Arial"/>
                <w:b/>
                <w:bCs/>
                <w:color w:val="000000"/>
              </w:rPr>
              <w:t>1</w:t>
            </w:r>
            <w:r w:rsidRPr="00E3219D">
              <w:rPr>
                <w:rFonts w:cs="Arial"/>
                <w:b/>
                <w:bCs/>
                <w:color w:val="000000"/>
              </w:rPr>
              <w:t>  </w:t>
            </w:r>
            <w:r>
              <w:rPr>
                <w:rFonts w:cs="Arial"/>
              </w:rPr>
              <w:t>All transplant-eligible patients were discussed early with a transplant centre regarding suitability and donor options</w:t>
            </w:r>
            <w:r w:rsidR="00B31C53">
              <w:rPr>
                <w:rFonts w:cs="Arial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D59B9C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B1F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9DF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009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</w:tr>
      <w:tr w:rsidR="006C16F8" w:rsidRPr="00077B16" w14:paraId="2F13C50F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91A" w14:textId="0B8AEBC4" w:rsidR="006C16F8" w:rsidRPr="00077B16" w:rsidRDefault="006C16F8" w:rsidP="006C16F8">
            <w:pPr>
              <w:pStyle w:val="Tabletext"/>
            </w:pPr>
            <w:r w:rsidRPr="00081C2A">
              <w:rPr>
                <w:rFonts w:cs="Arial"/>
                <w:b/>
                <w:bCs/>
                <w:color w:val="000000"/>
              </w:rPr>
              <w:lastRenderedPageBreak/>
              <w:t>2  </w:t>
            </w:r>
            <w:r w:rsidRPr="00081C2A">
              <w:rPr>
                <w:rFonts w:cs="Arial"/>
              </w:rPr>
              <w:t>Patients planned for allo-HSCT with bulky splenomegaly should undergo pretransplant therapy with Janus kinase inhibitors (JAKi), or be enrolled in a suitable clinical trial prior to allo-HSCT to maximise spleen response</w:t>
            </w:r>
            <w:r w:rsidR="00B31C53">
              <w:rPr>
                <w:rFonts w:cs="Arial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AE24F7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C40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8E6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A445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</w:tr>
      <w:tr w:rsidR="006C16F8" w:rsidRPr="00077B16" w14:paraId="25BE1C2B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335" w14:textId="3E061CC8" w:rsidR="006C16F8" w:rsidRPr="00077B16" w:rsidRDefault="006C16F8" w:rsidP="006C16F8">
            <w:pPr>
              <w:pStyle w:val="Tabletext"/>
            </w:pPr>
            <w:r>
              <w:rPr>
                <w:rFonts w:cs="Arial"/>
                <w:b/>
                <w:bCs/>
              </w:rPr>
              <w:t>3  </w:t>
            </w:r>
            <w:r>
              <w:rPr>
                <w:rFonts w:cs="Arial"/>
              </w:rPr>
              <w:t>Patients w</w:t>
            </w:r>
            <w:r w:rsidRPr="000C6522">
              <w:rPr>
                <w:rFonts w:cs="Arial"/>
              </w:rPr>
              <w:t>ith iron overload</w:t>
            </w:r>
            <w:r>
              <w:rPr>
                <w:rFonts w:cs="Arial"/>
              </w:rPr>
              <w:t xml:space="preserve"> were</w:t>
            </w:r>
            <w:r w:rsidRPr="000C6522">
              <w:rPr>
                <w:rFonts w:cs="Arial"/>
              </w:rPr>
              <w:t xml:space="preserve"> given iron chelation if time permit</w:t>
            </w:r>
            <w:r>
              <w:rPr>
                <w:rFonts w:cs="Arial"/>
              </w:rPr>
              <w:t>ted</w:t>
            </w:r>
            <w:r w:rsidR="00B31C53">
              <w:rPr>
                <w:rFonts w:cs="Arial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72464A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2613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2A6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2DD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</w:tr>
      <w:tr w:rsidR="006C16F8" w:rsidRPr="00077B16" w14:paraId="2463E27E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212" w14:textId="420E6A05" w:rsidR="006C16F8" w:rsidRPr="00077B16" w:rsidRDefault="006C16F8" w:rsidP="006C16F8">
            <w:pPr>
              <w:pStyle w:val="Tabletext"/>
            </w:pPr>
            <w:r>
              <w:rPr>
                <w:rFonts w:cs="Arial"/>
                <w:b/>
                <w:bCs/>
                <w:color w:val="000000"/>
              </w:rPr>
              <w:t>4  </w:t>
            </w:r>
            <w:r w:rsidRPr="00E70C8C">
              <w:rPr>
                <w:rFonts w:cs="Arial"/>
                <w:color w:val="000000"/>
              </w:rPr>
              <w:t xml:space="preserve">Where possible, allo-HSCT </w:t>
            </w:r>
            <w:r>
              <w:rPr>
                <w:rFonts w:cs="Arial"/>
                <w:color w:val="000000"/>
              </w:rPr>
              <w:t>was</w:t>
            </w:r>
            <w:r w:rsidRPr="00E70C8C">
              <w:rPr>
                <w:rFonts w:cs="Arial"/>
                <w:color w:val="000000"/>
              </w:rPr>
              <w:t xml:space="preserve"> perform</w:t>
            </w:r>
            <w:r>
              <w:rPr>
                <w:rFonts w:cs="Arial"/>
                <w:color w:val="000000"/>
              </w:rPr>
              <w:t>ed</w:t>
            </w:r>
            <w:r w:rsidRPr="00E70C8C">
              <w:rPr>
                <w:rFonts w:cs="Arial"/>
                <w:color w:val="000000"/>
              </w:rPr>
              <w:t xml:space="preserve"> at the time of best response to a JAKi</w:t>
            </w:r>
            <w:r w:rsidR="00B31C53">
              <w:rPr>
                <w:rFonts w:cs="Arial"/>
                <w:color w:val="00000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540DBB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375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3602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0C8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</w:tr>
      <w:tr w:rsidR="006C16F8" w:rsidRPr="00077B16" w14:paraId="71731216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B8AD" w14:textId="58B565C7" w:rsidR="006C16F8" w:rsidRPr="00077B16" w:rsidRDefault="006C16F8" w:rsidP="006C16F8">
            <w:pPr>
              <w:pStyle w:val="Tabletext"/>
            </w:pPr>
            <w:r>
              <w:rPr>
                <w:rFonts w:cs="Arial"/>
                <w:b/>
                <w:bCs/>
              </w:rPr>
              <w:t>5  </w:t>
            </w:r>
            <w:r>
              <w:rPr>
                <w:rFonts w:cs="Arial"/>
              </w:rPr>
              <w:t>Post-transplant measurable residual disease monitoring was performed</w:t>
            </w:r>
            <w:r w:rsidR="00B31C53">
              <w:rPr>
                <w:rFonts w:cs="Arial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CCA0DC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3DD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13E5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EAEB" w14:textId="77777777" w:rsidR="006C16F8" w:rsidRPr="00077B16" w:rsidRDefault="006C16F8" w:rsidP="006C16F8">
            <w:pPr>
              <w:pStyle w:val="Tabletext"/>
              <w:rPr>
                <w:b/>
                <w:bCs/>
              </w:rPr>
            </w:pPr>
          </w:p>
        </w:tc>
      </w:tr>
      <w:tr w:rsidR="006C16F8" w:rsidRPr="00077B16" w14:paraId="7DCAAEA2" w14:textId="77777777" w:rsidTr="00EC7C09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0C38" w14:textId="21D1367A" w:rsidR="006C16F8" w:rsidRPr="00077B16" w:rsidRDefault="006C16F8" w:rsidP="006C16F8">
            <w:pPr>
              <w:pStyle w:val="Rowheading"/>
            </w:pPr>
            <w:r>
              <w:t>Accelerated and blast phase myelofibrosis</w:t>
            </w:r>
          </w:p>
        </w:tc>
      </w:tr>
      <w:tr w:rsidR="00B31C53" w:rsidRPr="00077B16" w14:paraId="479A90DD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F5C" w14:textId="6A159300" w:rsidR="00B31C53" w:rsidRPr="00077B16" w:rsidRDefault="00B31C53" w:rsidP="00B31C53">
            <w:pPr>
              <w:pStyle w:val="Tabletext"/>
            </w:pPr>
            <w:r>
              <w:rPr>
                <w:rFonts w:cs="Arial"/>
                <w:b/>
                <w:bCs/>
              </w:rPr>
              <w:t>1  </w:t>
            </w:r>
            <w:r>
              <w:rPr>
                <w:rFonts w:cs="Arial"/>
              </w:rPr>
              <w:t>Full</w:t>
            </w:r>
            <w:r w:rsidRPr="00F24BB8">
              <w:rPr>
                <w:rFonts w:cs="Arial"/>
              </w:rPr>
              <w:t xml:space="preserve"> assessment</w:t>
            </w:r>
            <w:r>
              <w:rPr>
                <w:rFonts w:cs="Arial"/>
              </w:rPr>
              <w:t>s</w:t>
            </w:r>
            <w:r w:rsidRPr="00F24BB8">
              <w:rPr>
                <w:rFonts w:cs="Arial"/>
              </w:rPr>
              <w:t xml:space="preserve"> include</w:t>
            </w:r>
            <w:r>
              <w:rPr>
                <w:rFonts w:cs="Arial"/>
              </w:rPr>
              <w:t xml:space="preserve">d </w:t>
            </w:r>
            <w:r w:rsidRPr="00F24BB8">
              <w:rPr>
                <w:rFonts w:cs="Arial"/>
              </w:rPr>
              <w:t>SNP</w:t>
            </w:r>
            <w:r>
              <w:rPr>
                <w:rFonts w:cs="Arial"/>
              </w:rPr>
              <w:t xml:space="preserve"> </w:t>
            </w:r>
            <w:r w:rsidRPr="00F24BB8">
              <w:rPr>
                <w:rFonts w:cs="Arial"/>
              </w:rPr>
              <w:t>array/karyotype and an extended myeloid gene panel</w:t>
            </w:r>
            <w:r>
              <w:rPr>
                <w:rFonts w:cs="Arial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5C686E" w14:textId="77777777" w:rsidR="00B31C53" w:rsidRPr="00077B16" w:rsidRDefault="00B31C53" w:rsidP="00B31C53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F1D" w14:textId="77777777" w:rsidR="00B31C53" w:rsidRPr="00077B16" w:rsidRDefault="00B31C53" w:rsidP="00B31C53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C7E" w14:textId="77777777" w:rsidR="00B31C53" w:rsidRPr="00077B16" w:rsidRDefault="00B31C53" w:rsidP="00B31C53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942" w14:textId="77777777" w:rsidR="00B31C53" w:rsidRPr="00077B16" w:rsidRDefault="00B31C53" w:rsidP="00B31C53">
            <w:pPr>
              <w:pStyle w:val="Tabletext"/>
              <w:rPr>
                <w:b/>
                <w:bCs/>
              </w:rPr>
            </w:pPr>
          </w:p>
        </w:tc>
      </w:tr>
      <w:tr w:rsidR="00B31C53" w:rsidRPr="00077B16" w14:paraId="02EEC1B1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CAB" w14:textId="63DB2B36" w:rsidR="00B31C53" w:rsidRPr="00077B16" w:rsidRDefault="00B31C53" w:rsidP="00B31C53">
            <w:pPr>
              <w:pStyle w:val="Tabletext"/>
            </w:pPr>
            <w:r>
              <w:rPr>
                <w:rFonts w:cs="Arial"/>
                <w:b/>
                <w:bCs/>
              </w:rPr>
              <w:t>2  </w:t>
            </w:r>
            <w:r w:rsidRPr="00F24BB8">
              <w:rPr>
                <w:rFonts w:cs="Arial"/>
              </w:rPr>
              <w:t>Patients eligible for a transplant under</w:t>
            </w:r>
            <w:r>
              <w:rPr>
                <w:rFonts w:cs="Arial"/>
              </w:rPr>
              <w:t>went</w:t>
            </w:r>
            <w:r w:rsidRPr="00F24BB8">
              <w:rPr>
                <w:rFonts w:cs="Arial"/>
              </w:rPr>
              <w:t xml:space="preserve"> HLA</w:t>
            </w:r>
            <w:r>
              <w:rPr>
                <w:rFonts w:cs="Arial"/>
              </w:rPr>
              <w:t xml:space="preserve"> </w:t>
            </w:r>
            <w:r w:rsidRPr="00F24BB8">
              <w:rPr>
                <w:rFonts w:cs="Arial"/>
              </w:rPr>
              <w:t>typing and early referral to a stem cell transplant centre</w:t>
            </w:r>
            <w:r>
              <w:rPr>
                <w:rFonts w:cs="Arial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1AD596" w14:textId="77777777" w:rsidR="00B31C53" w:rsidRPr="00077B16" w:rsidRDefault="00B31C53" w:rsidP="00B31C53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0B0" w14:textId="77777777" w:rsidR="00B31C53" w:rsidRPr="00077B16" w:rsidRDefault="00B31C53" w:rsidP="00B31C53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1792" w14:textId="77777777" w:rsidR="00B31C53" w:rsidRPr="00077B16" w:rsidRDefault="00B31C53" w:rsidP="00B31C53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864" w14:textId="77777777" w:rsidR="00B31C53" w:rsidRPr="00077B16" w:rsidRDefault="00B31C53" w:rsidP="00B31C53">
            <w:pPr>
              <w:pStyle w:val="Tabletext"/>
              <w:rPr>
                <w:b/>
                <w:bCs/>
              </w:rPr>
            </w:pPr>
          </w:p>
        </w:tc>
      </w:tr>
      <w:tr w:rsidR="00B31C53" w:rsidRPr="00077B16" w14:paraId="46787C4D" w14:textId="77777777" w:rsidTr="00AB552E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FF5" w14:textId="3F9F7869" w:rsidR="00B31C53" w:rsidRPr="00077B16" w:rsidRDefault="00B31C53" w:rsidP="00B31C53">
            <w:pPr>
              <w:pStyle w:val="Tabletext"/>
            </w:pPr>
            <w:r>
              <w:rPr>
                <w:rFonts w:cs="Arial"/>
                <w:b/>
                <w:bCs/>
              </w:rPr>
              <w:t>3  </w:t>
            </w:r>
            <w:r w:rsidRPr="00F24BB8">
              <w:rPr>
                <w:rFonts w:cs="Arial"/>
              </w:rPr>
              <w:t>Patients not eligible for a transplant enter</w:t>
            </w:r>
            <w:r>
              <w:rPr>
                <w:rFonts w:cs="Arial"/>
              </w:rPr>
              <w:t>ed</w:t>
            </w:r>
            <w:r w:rsidRPr="00F24BB8">
              <w:rPr>
                <w:rFonts w:cs="Arial"/>
              </w:rPr>
              <w:t xml:space="preserve"> a clinical trial</w:t>
            </w:r>
            <w:r>
              <w:rPr>
                <w:rFonts w:cs="Arial"/>
              </w:rPr>
              <w:t xml:space="preserve"> or</w:t>
            </w:r>
            <w:r w:rsidRPr="00F24BB8">
              <w:rPr>
                <w:rFonts w:cs="Arial"/>
              </w:rPr>
              <w:t xml:space="preserve"> receive</w:t>
            </w:r>
            <w:r>
              <w:rPr>
                <w:rFonts w:cs="Arial"/>
              </w:rPr>
              <w:t>d</w:t>
            </w:r>
            <w:r w:rsidRPr="00F24BB8">
              <w:rPr>
                <w:rFonts w:cs="Arial"/>
              </w:rPr>
              <w:t xml:space="preserve"> HMAs</w:t>
            </w:r>
            <w:r>
              <w:rPr>
                <w:rFonts w:cs="Arial"/>
              </w:rPr>
              <w:t>,</w:t>
            </w:r>
            <w:r w:rsidRPr="00F24BB8">
              <w:rPr>
                <w:rFonts w:cs="Arial"/>
              </w:rPr>
              <w:t xml:space="preserve"> with </w:t>
            </w:r>
            <w:r>
              <w:rPr>
                <w:rFonts w:cs="Arial"/>
              </w:rPr>
              <w:t>and</w:t>
            </w:r>
            <w:r w:rsidRPr="00F24BB8">
              <w:rPr>
                <w:rFonts w:cs="Arial"/>
              </w:rPr>
              <w:t xml:space="preserve"> without a JAKi. These patients </w:t>
            </w:r>
            <w:r>
              <w:rPr>
                <w:rFonts w:cs="Arial"/>
              </w:rPr>
              <w:t>had</w:t>
            </w:r>
            <w:r w:rsidRPr="00F24BB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 </w:t>
            </w:r>
            <w:r w:rsidRPr="00F24BB8">
              <w:rPr>
                <w:rFonts w:cs="Arial"/>
              </w:rPr>
              <w:t>early introduction to holistic palliative care services</w:t>
            </w:r>
            <w:r>
              <w:rPr>
                <w:rFonts w:cs="Arial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781199" w14:textId="77777777" w:rsidR="00B31C53" w:rsidRPr="00077B16" w:rsidRDefault="00B31C53" w:rsidP="00B31C53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123E" w14:textId="77777777" w:rsidR="00B31C53" w:rsidRPr="00077B16" w:rsidRDefault="00B31C53" w:rsidP="00B31C53">
            <w:pPr>
              <w:pStyle w:val="Tabletext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B182" w14:textId="77777777" w:rsidR="00B31C53" w:rsidRPr="00077B16" w:rsidRDefault="00B31C53" w:rsidP="00B31C53">
            <w:pPr>
              <w:pStyle w:val="Tabletext"/>
              <w:rPr>
                <w:b/>
                <w:bCs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B207" w14:textId="77777777" w:rsidR="00B31C53" w:rsidRPr="00077B16" w:rsidRDefault="00B31C53" w:rsidP="00B31C53">
            <w:pPr>
              <w:pStyle w:val="Tabletext"/>
              <w:rPr>
                <w:b/>
                <w:bCs/>
              </w:rPr>
            </w:pPr>
          </w:p>
        </w:tc>
      </w:tr>
    </w:tbl>
    <w:p w14:paraId="3A39372E" w14:textId="77777777" w:rsidR="008C6E27" w:rsidRDefault="008C6E27" w:rsidP="008C6E27">
      <w:pPr>
        <w:spacing w:before="0"/>
        <w:rPr>
          <w:rFonts w:cs="Arial"/>
          <w:b/>
          <w:bCs/>
        </w:rPr>
      </w:pPr>
    </w:p>
    <w:p w14:paraId="1FD05566" w14:textId="74A4E54C" w:rsidR="008C6E27" w:rsidRPr="008C6E27" w:rsidRDefault="00B31C53" w:rsidP="008C6E27">
      <w:pPr>
        <w:rPr>
          <w:rFonts w:cs="Arial"/>
          <w:b/>
          <w:bCs/>
        </w:rPr>
      </w:pPr>
      <w:r w:rsidRPr="008C6E27">
        <w:rPr>
          <w:rFonts w:cs="Arial"/>
          <w:b/>
          <w:bCs/>
        </w:rPr>
        <w:t>List of investigations</w:t>
      </w:r>
      <w:r w:rsidR="00304717">
        <w:rPr>
          <w:rFonts w:cs="Arial"/>
          <w:b/>
          <w:bCs/>
        </w:rPr>
        <w:t xml:space="preserve"> </w:t>
      </w:r>
      <w:r w:rsidR="00304717" w:rsidRPr="00304717">
        <w:rPr>
          <w:color w:val="FF0000"/>
        </w:rPr>
        <w:t>(To be completed by the author)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2"/>
        <w:gridCol w:w="2047"/>
        <w:gridCol w:w="1949"/>
      </w:tblGrid>
      <w:tr w:rsidR="008C6E27" w14:paraId="0A7DE463" w14:textId="77777777" w:rsidTr="00331242">
        <w:tc>
          <w:tcPr>
            <w:tcW w:w="5637" w:type="dxa"/>
          </w:tcPr>
          <w:p w14:paraId="1668F12A" w14:textId="77777777" w:rsidR="008C6E27" w:rsidRDefault="008C6E27" w:rsidP="008C6E27">
            <w:pPr>
              <w:pStyle w:val="Tablecolumnheading"/>
            </w:pPr>
          </w:p>
        </w:tc>
        <w:tc>
          <w:tcPr>
            <w:tcW w:w="2048" w:type="dxa"/>
          </w:tcPr>
          <w:p w14:paraId="52F89A32" w14:textId="77777777" w:rsidR="008C6E27" w:rsidRDefault="008C6E27" w:rsidP="008C6E27">
            <w:pPr>
              <w:pStyle w:val="Tablecolumnheading"/>
            </w:pPr>
            <w:r>
              <w:t>Yes</w:t>
            </w:r>
          </w:p>
        </w:tc>
        <w:tc>
          <w:tcPr>
            <w:tcW w:w="1950" w:type="dxa"/>
          </w:tcPr>
          <w:p w14:paraId="26404403" w14:textId="77777777" w:rsidR="008C6E27" w:rsidRDefault="008C6E27" w:rsidP="008C6E27">
            <w:pPr>
              <w:pStyle w:val="Tablecolumnheading"/>
            </w:pPr>
            <w:r>
              <w:t>No</w:t>
            </w:r>
          </w:p>
        </w:tc>
      </w:tr>
      <w:tr w:rsidR="008C6E27" w14:paraId="6AF24B6A" w14:textId="77777777" w:rsidTr="00331242">
        <w:tc>
          <w:tcPr>
            <w:tcW w:w="5637" w:type="dxa"/>
          </w:tcPr>
          <w:p w14:paraId="1AAF4D69" w14:textId="77777777" w:rsidR="008C6E27" w:rsidRPr="00E30831" w:rsidRDefault="008C6E27" w:rsidP="0033124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52396566" w14:textId="77777777" w:rsidR="008C6E27" w:rsidRDefault="008C6E27" w:rsidP="00331242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7EF3D2FE" w14:textId="77777777" w:rsidR="008C6E27" w:rsidRDefault="008C6E27" w:rsidP="00331242">
            <w:pPr>
              <w:keepNext/>
              <w:spacing w:before="120" w:after="120"/>
              <w:rPr>
                <w:rFonts w:cs="Arial"/>
              </w:rPr>
            </w:pPr>
          </w:p>
        </w:tc>
      </w:tr>
      <w:tr w:rsidR="008C6E27" w14:paraId="2F70134D" w14:textId="77777777" w:rsidTr="00331242">
        <w:tc>
          <w:tcPr>
            <w:tcW w:w="5637" w:type="dxa"/>
            <w:tcBorders>
              <w:bottom w:val="single" w:sz="4" w:space="0" w:color="auto"/>
            </w:tcBorders>
          </w:tcPr>
          <w:p w14:paraId="6C440622" w14:textId="77777777" w:rsidR="008C6E27" w:rsidRPr="00E30831" w:rsidRDefault="008C6E27" w:rsidP="0033124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08AC4476" w14:textId="77777777" w:rsidR="008C6E27" w:rsidRDefault="008C6E27" w:rsidP="00331242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53CB0AF4" w14:textId="77777777" w:rsidR="008C6E27" w:rsidRDefault="008C6E27" w:rsidP="00331242">
            <w:pPr>
              <w:keepNext/>
              <w:spacing w:before="120" w:after="120"/>
              <w:rPr>
                <w:rFonts w:cs="Arial"/>
              </w:rPr>
            </w:pPr>
          </w:p>
        </w:tc>
      </w:tr>
      <w:tr w:rsidR="008C6E27" w14:paraId="1FE08AB2" w14:textId="77777777" w:rsidTr="00331242">
        <w:tc>
          <w:tcPr>
            <w:tcW w:w="5637" w:type="dxa"/>
          </w:tcPr>
          <w:p w14:paraId="79A13095" w14:textId="77777777" w:rsidR="008C6E27" w:rsidRDefault="008C6E27" w:rsidP="00331242">
            <w:pPr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37D1CC80" w14:textId="77777777" w:rsidR="008C6E27" w:rsidRDefault="008C6E27" w:rsidP="00331242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069F1475" w14:textId="77777777" w:rsidR="008C6E27" w:rsidRDefault="008C6E27" w:rsidP="00331242">
            <w:pPr>
              <w:keepNext/>
              <w:spacing w:before="120" w:after="120"/>
              <w:rPr>
                <w:rFonts w:cs="Arial"/>
              </w:rPr>
            </w:pPr>
          </w:p>
        </w:tc>
      </w:tr>
    </w:tbl>
    <w:p w14:paraId="2393E24C" w14:textId="0E0F446F" w:rsidR="002806C7" w:rsidRPr="00077B16" w:rsidRDefault="002806C7">
      <w:pPr>
        <w:rPr>
          <w:rFonts w:cs="Arial"/>
        </w:rPr>
      </w:pP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8C6E27">
            <w:pPr>
              <w:pStyle w:val="Rowheading"/>
              <w:rPr>
                <w:rStyle w:val="UnresolvedMention"/>
                <w:b w:val="0"/>
                <w:bCs/>
              </w:rPr>
            </w:pPr>
            <w:r w:rsidRPr="009349D7">
              <w:lastRenderedPageBreak/>
              <w:br w:type="page"/>
            </w:r>
            <w:r w:rsidR="00FC2016" w:rsidRPr="001F037A">
              <w:t>Audit action plan</w:t>
            </w:r>
            <w:r w:rsidR="00FC2016" w:rsidRPr="001F037A">
              <w:rPr>
                <w:rStyle w:val="UnresolvedMention"/>
                <w:bCs/>
              </w:rPr>
              <w:t xml:space="preserve"> </w:t>
            </w:r>
          </w:p>
          <w:p w14:paraId="3758BA60" w14:textId="4B2E6D74" w:rsidR="002806C7" w:rsidRPr="00C3566C" w:rsidRDefault="00C3566C" w:rsidP="00C3566C">
            <w:pPr>
              <w:pStyle w:val="Tabletext"/>
            </w:pPr>
            <w:r w:rsidRPr="00C3566C">
              <w:t xml:space="preserve">An audit of compliance with the </w:t>
            </w:r>
            <w:r w:rsidR="00B14B94">
              <w:t>BSH</w:t>
            </w:r>
            <w:r w:rsidRPr="00C3566C">
              <w:t xml:space="preserve"> guideline for </w:t>
            </w:r>
            <w:r w:rsidR="00301CB1">
              <w:t>t</w:t>
            </w:r>
            <w:r w:rsidRPr="00C3566C">
              <w:t xml:space="preserve">he </w:t>
            </w:r>
            <w:r w:rsidR="00301CB1">
              <w:t>m</w:t>
            </w:r>
            <w:r w:rsidRPr="00C3566C">
              <w:t xml:space="preserve">anagement of </w:t>
            </w:r>
            <w:r w:rsidR="00301CB1">
              <w:t>m</w:t>
            </w:r>
            <w:r w:rsidRPr="00C3566C">
              <w:t>yelofibrosis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650C0" w14:textId="77777777" w:rsidR="00EC4968" w:rsidRDefault="00EC4968">
      <w:r>
        <w:separator/>
      </w:r>
    </w:p>
  </w:endnote>
  <w:endnote w:type="continuationSeparator" w:id="0">
    <w:p w14:paraId="061467EF" w14:textId="77777777" w:rsidR="00EC4968" w:rsidRDefault="00EC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libr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A753" w14:textId="611E7529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</w:t>
    </w:r>
    <w:r w:rsidR="00473B28">
      <w:rPr>
        <w:rFonts w:cs="Arial"/>
        <w:sz w:val="20"/>
        <w:szCs w:val="20"/>
      </w:rPr>
      <w:tab/>
    </w:r>
    <w:r w:rsidR="008C12E9">
      <w:rPr>
        <w:rFonts w:cs="Arial"/>
        <w:sz w:val="20"/>
        <w:szCs w:val="20"/>
      </w:rPr>
      <w:t>0</w:t>
    </w:r>
    <w:r w:rsidR="00030AA9">
      <w:rPr>
        <w:rFonts w:cs="Arial"/>
        <w:sz w:val="20"/>
        <w:szCs w:val="20"/>
      </w:rPr>
      <w:t>4</w:t>
    </w:r>
    <w:r w:rsidR="0056104E">
      <w:rPr>
        <w:rFonts w:cs="Arial"/>
        <w:sz w:val="20"/>
        <w:szCs w:val="20"/>
      </w:rPr>
      <w:t>0924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3569" w14:textId="5EE3B833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2336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4144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</w:t>
    </w:r>
    <w:r w:rsidR="00C5391D">
      <w:rPr>
        <w:rFonts w:cs="Arial"/>
        <w:sz w:val="20"/>
        <w:szCs w:val="20"/>
      </w:rPr>
      <w:tab/>
    </w:r>
    <w:r w:rsidR="008C12E9">
      <w:rPr>
        <w:rFonts w:cs="Arial"/>
        <w:sz w:val="20"/>
        <w:szCs w:val="20"/>
      </w:rPr>
      <w:t>0</w:t>
    </w:r>
    <w:r w:rsidR="002E78D0">
      <w:rPr>
        <w:rFonts w:cs="Arial"/>
        <w:sz w:val="20"/>
        <w:szCs w:val="20"/>
      </w:rPr>
      <w:t>4</w:t>
    </w:r>
    <w:r w:rsidR="00100B15">
      <w:rPr>
        <w:rFonts w:cs="Arial"/>
        <w:sz w:val="20"/>
        <w:szCs w:val="20"/>
      </w:rPr>
      <w:t>0924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5F97C" w14:textId="77777777" w:rsidR="00EC4968" w:rsidRDefault="00EC4968">
      <w:r>
        <w:separator/>
      </w:r>
    </w:p>
  </w:footnote>
  <w:footnote w:type="continuationSeparator" w:id="0">
    <w:p w14:paraId="287A3126" w14:textId="77777777" w:rsidR="00EC4968" w:rsidRDefault="00EC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30FE" w14:textId="4673F40B" w:rsidR="00590DC3" w:rsidRPr="00927185" w:rsidRDefault="00451591" w:rsidP="00927185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rFonts w:cs="Arial"/>
        <w:noProof/>
        <w:sz w:val="28"/>
        <w:szCs w:val="28"/>
        <w:lang w:eastAsia="en-GB"/>
      </w:rPr>
      <w:drawing>
        <wp:anchor distT="0" distB="0" distL="114300" distR="114300" simplePos="0" relativeHeight="251663360" behindDoc="0" locked="0" layoutInCell="1" allowOverlap="1" wp14:anchorId="740DD9FF" wp14:editId="6B628569">
          <wp:simplePos x="0" y="0"/>
          <wp:positionH relativeFrom="margin">
            <wp:posOffset>3853180</wp:posOffset>
          </wp:positionH>
          <wp:positionV relativeFrom="paragraph">
            <wp:posOffset>186055</wp:posOffset>
          </wp:positionV>
          <wp:extent cx="2261870" cy="658495"/>
          <wp:effectExtent l="0" t="0" r="5080" b="8255"/>
          <wp:wrapNone/>
          <wp:docPr id="4004287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172C"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 w:val="28"/>
        <w:szCs w:val="28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64FD1"/>
    <w:multiLevelType w:val="hybridMultilevel"/>
    <w:tmpl w:val="402AFA84"/>
    <w:lvl w:ilvl="0" w:tplc="5218BA5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7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4236B9"/>
    <w:multiLevelType w:val="hybridMultilevel"/>
    <w:tmpl w:val="14D22D3C"/>
    <w:lvl w:ilvl="0" w:tplc="C9569F5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0557F0"/>
    <w:multiLevelType w:val="hybridMultilevel"/>
    <w:tmpl w:val="EAD8DDE6"/>
    <w:lvl w:ilvl="0" w:tplc="D052631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7" w15:restartNumberingAfterBreak="0">
    <w:nsid w:val="2B132B1A"/>
    <w:multiLevelType w:val="hybridMultilevel"/>
    <w:tmpl w:val="1AAEF0AE"/>
    <w:lvl w:ilvl="0" w:tplc="D3FAB798">
      <w:start w:val="1"/>
      <w:numFmt w:val="decimal"/>
      <w:lvlText w:val="%1."/>
      <w:lvlJc w:val="left"/>
      <w:pPr>
        <w:ind w:left="34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8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64B75"/>
    <w:multiLevelType w:val="hybridMultilevel"/>
    <w:tmpl w:val="3B1AC980"/>
    <w:lvl w:ilvl="0" w:tplc="9B267A8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8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B365DC"/>
    <w:multiLevelType w:val="hybridMultilevel"/>
    <w:tmpl w:val="8C46BA22"/>
    <w:lvl w:ilvl="0" w:tplc="8E5A84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26761"/>
    <w:multiLevelType w:val="hybridMultilevel"/>
    <w:tmpl w:val="8C46BA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1332489">
    <w:abstractNumId w:val="8"/>
  </w:num>
  <w:num w:numId="2" w16cid:durableId="1188449754">
    <w:abstractNumId w:val="25"/>
  </w:num>
  <w:num w:numId="3" w16cid:durableId="1837838498">
    <w:abstractNumId w:val="5"/>
  </w:num>
  <w:num w:numId="4" w16cid:durableId="1977566131">
    <w:abstractNumId w:val="7"/>
  </w:num>
  <w:num w:numId="5" w16cid:durableId="1911698097">
    <w:abstractNumId w:val="19"/>
  </w:num>
  <w:num w:numId="6" w16cid:durableId="1681543166">
    <w:abstractNumId w:val="31"/>
  </w:num>
  <w:num w:numId="7" w16cid:durableId="2110732581">
    <w:abstractNumId w:val="12"/>
  </w:num>
  <w:num w:numId="8" w16cid:durableId="150567517">
    <w:abstractNumId w:val="21"/>
  </w:num>
  <w:num w:numId="9" w16cid:durableId="118693893">
    <w:abstractNumId w:val="13"/>
  </w:num>
  <w:num w:numId="10" w16cid:durableId="356666159">
    <w:abstractNumId w:val="1"/>
  </w:num>
  <w:num w:numId="11" w16cid:durableId="13655170">
    <w:abstractNumId w:val="30"/>
  </w:num>
  <w:num w:numId="12" w16cid:durableId="937830974">
    <w:abstractNumId w:val="35"/>
  </w:num>
  <w:num w:numId="13" w16cid:durableId="1311669074">
    <w:abstractNumId w:val="28"/>
  </w:num>
  <w:num w:numId="14" w16cid:durableId="1241059685">
    <w:abstractNumId w:val="26"/>
  </w:num>
  <w:num w:numId="15" w16cid:durableId="2138598035">
    <w:abstractNumId w:val="2"/>
  </w:num>
  <w:num w:numId="16" w16cid:durableId="1676764879">
    <w:abstractNumId w:val="36"/>
  </w:num>
  <w:num w:numId="17" w16cid:durableId="1758669902">
    <w:abstractNumId w:val="24"/>
  </w:num>
  <w:num w:numId="18" w16cid:durableId="1935357735">
    <w:abstractNumId w:val="10"/>
  </w:num>
  <w:num w:numId="19" w16cid:durableId="382631689">
    <w:abstractNumId w:val="34"/>
  </w:num>
  <w:num w:numId="20" w16cid:durableId="1163424478">
    <w:abstractNumId w:val="23"/>
  </w:num>
  <w:num w:numId="21" w16cid:durableId="156192729">
    <w:abstractNumId w:val="20"/>
  </w:num>
  <w:num w:numId="22" w16cid:durableId="1930310314">
    <w:abstractNumId w:val="32"/>
  </w:num>
  <w:num w:numId="23" w16cid:durableId="922880505">
    <w:abstractNumId w:val="22"/>
  </w:num>
  <w:num w:numId="24" w16cid:durableId="661615937">
    <w:abstractNumId w:val="15"/>
  </w:num>
  <w:num w:numId="25" w16cid:durableId="1329015147">
    <w:abstractNumId w:val="3"/>
  </w:num>
  <w:num w:numId="26" w16cid:durableId="214778267">
    <w:abstractNumId w:val="11"/>
  </w:num>
  <w:num w:numId="27" w16cid:durableId="1755466984">
    <w:abstractNumId w:val="14"/>
  </w:num>
  <w:num w:numId="28" w16cid:durableId="1748458345">
    <w:abstractNumId w:val="9"/>
  </w:num>
  <w:num w:numId="29" w16cid:durableId="1067455065">
    <w:abstractNumId w:val="4"/>
  </w:num>
  <w:num w:numId="30" w16cid:durableId="1740667139">
    <w:abstractNumId w:val="18"/>
  </w:num>
  <w:num w:numId="31" w16cid:durableId="797454649">
    <w:abstractNumId w:val="0"/>
  </w:num>
  <w:num w:numId="32" w16cid:durableId="2049795340">
    <w:abstractNumId w:val="29"/>
  </w:num>
  <w:num w:numId="33" w16cid:durableId="2094350888">
    <w:abstractNumId w:val="17"/>
  </w:num>
  <w:num w:numId="34" w16cid:durableId="1295255718">
    <w:abstractNumId w:val="11"/>
    <w:lvlOverride w:ilvl="0">
      <w:startOverride w:val="1"/>
    </w:lvlOverride>
  </w:num>
  <w:num w:numId="35" w16cid:durableId="1397246501">
    <w:abstractNumId w:val="11"/>
    <w:lvlOverride w:ilvl="0">
      <w:startOverride w:val="1"/>
    </w:lvlOverride>
  </w:num>
  <w:num w:numId="36" w16cid:durableId="1054505116">
    <w:abstractNumId w:val="27"/>
  </w:num>
  <w:num w:numId="37" w16cid:durableId="1677268764">
    <w:abstractNumId w:val="11"/>
    <w:lvlOverride w:ilvl="0">
      <w:startOverride w:val="1"/>
    </w:lvlOverride>
  </w:num>
  <w:num w:numId="38" w16cid:durableId="2076661188">
    <w:abstractNumId w:val="11"/>
    <w:lvlOverride w:ilvl="0">
      <w:startOverride w:val="1"/>
    </w:lvlOverride>
  </w:num>
  <w:num w:numId="39" w16cid:durableId="1991866066">
    <w:abstractNumId w:val="6"/>
  </w:num>
  <w:num w:numId="40" w16cid:durableId="1316835205">
    <w:abstractNumId w:val="16"/>
  </w:num>
  <w:num w:numId="41" w16cid:durableId="1474060781">
    <w:abstractNumId w:val="11"/>
    <w:lvlOverride w:ilvl="0">
      <w:startOverride w:val="1"/>
    </w:lvlOverride>
  </w:num>
  <w:num w:numId="42" w16cid:durableId="810749024">
    <w:abstractNumId w:val="33"/>
  </w:num>
  <w:num w:numId="43" w16cid:durableId="1458067923">
    <w:abstractNumId w:val="1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0AA9"/>
    <w:rsid w:val="00034639"/>
    <w:rsid w:val="000369E8"/>
    <w:rsid w:val="00045804"/>
    <w:rsid w:val="000614D0"/>
    <w:rsid w:val="00074049"/>
    <w:rsid w:val="00077B16"/>
    <w:rsid w:val="00085BA9"/>
    <w:rsid w:val="00090A23"/>
    <w:rsid w:val="000A1FFE"/>
    <w:rsid w:val="000A3D6F"/>
    <w:rsid w:val="000B106E"/>
    <w:rsid w:val="000B1E92"/>
    <w:rsid w:val="000B6512"/>
    <w:rsid w:val="000C48A8"/>
    <w:rsid w:val="000D7C6A"/>
    <w:rsid w:val="000E2004"/>
    <w:rsid w:val="000E42F5"/>
    <w:rsid w:val="000F4D77"/>
    <w:rsid w:val="00100530"/>
    <w:rsid w:val="00100B15"/>
    <w:rsid w:val="0014563E"/>
    <w:rsid w:val="0014611C"/>
    <w:rsid w:val="00150E0A"/>
    <w:rsid w:val="001657DC"/>
    <w:rsid w:val="00167FA9"/>
    <w:rsid w:val="00176346"/>
    <w:rsid w:val="00177C93"/>
    <w:rsid w:val="001910B4"/>
    <w:rsid w:val="00194E27"/>
    <w:rsid w:val="001F037A"/>
    <w:rsid w:val="002020DA"/>
    <w:rsid w:val="0020390E"/>
    <w:rsid w:val="002045D7"/>
    <w:rsid w:val="002119F3"/>
    <w:rsid w:val="00214938"/>
    <w:rsid w:val="00230059"/>
    <w:rsid w:val="00230F57"/>
    <w:rsid w:val="00231E10"/>
    <w:rsid w:val="00234879"/>
    <w:rsid w:val="002440EE"/>
    <w:rsid w:val="0025391D"/>
    <w:rsid w:val="00253E1A"/>
    <w:rsid w:val="0025747C"/>
    <w:rsid w:val="00272AEA"/>
    <w:rsid w:val="002806C7"/>
    <w:rsid w:val="002810CB"/>
    <w:rsid w:val="002851D7"/>
    <w:rsid w:val="0029610F"/>
    <w:rsid w:val="002A0090"/>
    <w:rsid w:val="002A293B"/>
    <w:rsid w:val="002D7429"/>
    <w:rsid w:val="002E78D0"/>
    <w:rsid w:val="002F3A0B"/>
    <w:rsid w:val="002F4684"/>
    <w:rsid w:val="002F5E08"/>
    <w:rsid w:val="00301CB1"/>
    <w:rsid w:val="00304717"/>
    <w:rsid w:val="00327320"/>
    <w:rsid w:val="00333833"/>
    <w:rsid w:val="00363010"/>
    <w:rsid w:val="00373A0F"/>
    <w:rsid w:val="0037430B"/>
    <w:rsid w:val="00382460"/>
    <w:rsid w:val="00383EC0"/>
    <w:rsid w:val="00390ACD"/>
    <w:rsid w:val="00395582"/>
    <w:rsid w:val="003A33FE"/>
    <w:rsid w:val="003B186F"/>
    <w:rsid w:val="003B4471"/>
    <w:rsid w:val="003D3B96"/>
    <w:rsid w:val="003E4192"/>
    <w:rsid w:val="003E5CB7"/>
    <w:rsid w:val="003F1AAB"/>
    <w:rsid w:val="004039FC"/>
    <w:rsid w:val="00406950"/>
    <w:rsid w:val="004118BE"/>
    <w:rsid w:val="00421D7C"/>
    <w:rsid w:val="004230F5"/>
    <w:rsid w:val="00423323"/>
    <w:rsid w:val="00433568"/>
    <w:rsid w:val="00434B58"/>
    <w:rsid w:val="00436FD4"/>
    <w:rsid w:val="00451591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312A"/>
    <w:rsid w:val="004F5A98"/>
    <w:rsid w:val="00515AE8"/>
    <w:rsid w:val="00516629"/>
    <w:rsid w:val="0051663B"/>
    <w:rsid w:val="005254AA"/>
    <w:rsid w:val="00531468"/>
    <w:rsid w:val="0054011A"/>
    <w:rsid w:val="00545347"/>
    <w:rsid w:val="00554FCF"/>
    <w:rsid w:val="0056104E"/>
    <w:rsid w:val="00561723"/>
    <w:rsid w:val="00581F0C"/>
    <w:rsid w:val="0058430D"/>
    <w:rsid w:val="00590DC3"/>
    <w:rsid w:val="00591E8A"/>
    <w:rsid w:val="005A2C0F"/>
    <w:rsid w:val="005A2D91"/>
    <w:rsid w:val="005C7333"/>
    <w:rsid w:val="005D3173"/>
    <w:rsid w:val="005D5227"/>
    <w:rsid w:val="005E1060"/>
    <w:rsid w:val="005E3C1B"/>
    <w:rsid w:val="005F0C38"/>
    <w:rsid w:val="00603ECE"/>
    <w:rsid w:val="00606B9C"/>
    <w:rsid w:val="006147E1"/>
    <w:rsid w:val="00624056"/>
    <w:rsid w:val="006264EE"/>
    <w:rsid w:val="006319A1"/>
    <w:rsid w:val="006324C5"/>
    <w:rsid w:val="00632EB6"/>
    <w:rsid w:val="0068302D"/>
    <w:rsid w:val="006873DD"/>
    <w:rsid w:val="00690DA4"/>
    <w:rsid w:val="00690DDF"/>
    <w:rsid w:val="0069652F"/>
    <w:rsid w:val="006B091F"/>
    <w:rsid w:val="006B136F"/>
    <w:rsid w:val="006B32B1"/>
    <w:rsid w:val="006C16F8"/>
    <w:rsid w:val="006D4E64"/>
    <w:rsid w:val="006E2AD5"/>
    <w:rsid w:val="00703327"/>
    <w:rsid w:val="00706626"/>
    <w:rsid w:val="007114AC"/>
    <w:rsid w:val="0071269F"/>
    <w:rsid w:val="00726F62"/>
    <w:rsid w:val="00745A21"/>
    <w:rsid w:val="00753ECC"/>
    <w:rsid w:val="00760592"/>
    <w:rsid w:val="007631F7"/>
    <w:rsid w:val="007637F5"/>
    <w:rsid w:val="00765F35"/>
    <w:rsid w:val="00767BCF"/>
    <w:rsid w:val="00772A54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E4C78"/>
    <w:rsid w:val="007F21DF"/>
    <w:rsid w:val="007F44FB"/>
    <w:rsid w:val="00800BA5"/>
    <w:rsid w:val="008015D7"/>
    <w:rsid w:val="00813B20"/>
    <w:rsid w:val="008317B0"/>
    <w:rsid w:val="00835EBE"/>
    <w:rsid w:val="00855773"/>
    <w:rsid w:val="00860AF9"/>
    <w:rsid w:val="008628C3"/>
    <w:rsid w:val="00865A47"/>
    <w:rsid w:val="00872621"/>
    <w:rsid w:val="00875EC4"/>
    <w:rsid w:val="00876760"/>
    <w:rsid w:val="00884B47"/>
    <w:rsid w:val="00887FC0"/>
    <w:rsid w:val="0089524E"/>
    <w:rsid w:val="00897987"/>
    <w:rsid w:val="008C12E9"/>
    <w:rsid w:val="008C6E27"/>
    <w:rsid w:val="008D69A3"/>
    <w:rsid w:val="008E542F"/>
    <w:rsid w:val="008E5933"/>
    <w:rsid w:val="008F471C"/>
    <w:rsid w:val="009029F9"/>
    <w:rsid w:val="00903337"/>
    <w:rsid w:val="0091017D"/>
    <w:rsid w:val="00927185"/>
    <w:rsid w:val="00930859"/>
    <w:rsid w:val="009309DD"/>
    <w:rsid w:val="009349D7"/>
    <w:rsid w:val="00940136"/>
    <w:rsid w:val="00952DFE"/>
    <w:rsid w:val="00960F3D"/>
    <w:rsid w:val="00962491"/>
    <w:rsid w:val="009805FE"/>
    <w:rsid w:val="009929C5"/>
    <w:rsid w:val="009A7F6F"/>
    <w:rsid w:val="009C1F74"/>
    <w:rsid w:val="009C38CD"/>
    <w:rsid w:val="009C4066"/>
    <w:rsid w:val="009C59A6"/>
    <w:rsid w:val="009D2622"/>
    <w:rsid w:val="009D3DD1"/>
    <w:rsid w:val="009D5967"/>
    <w:rsid w:val="009D5DB4"/>
    <w:rsid w:val="009E1C52"/>
    <w:rsid w:val="009E39DF"/>
    <w:rsid w:val="009E4202"/>
    <w:rsid w:val="009E44FD"/>
    <w:rsid w:val="009E61F5"/>
    <w:rsid w:val="009F45A0"/>
    <w:rsid w:val="00A12358"/>
    <w:rsid w:val="00A16469"/>
    <w:rsid w:val="00A26F75"/>
    <w:rsid w:val="00A35011"/>
    <w:rsid w:val="00A37A50"/>
    <w:rsid w:val="00A40987"/>
    <w:rsid w:val="00A4630E"/>
    <w:rsid w:val="00A6672C"/>
    <w:rsid w:val="00A72EE5"/>
    <w:rsid w:val="00A91137"/>
    <w:rsid w:val="00A9492C"/>
    <w:rsid w:val="00AA5ADD"/>
    <w:rsid w:val="00AB2EA4"/>
    <w:rsid w:val="00AB552E"/>
    <w:rsid w:val="00AC3558"/>
    <w:rsid w:val="00AD28E3"/>
    <w:rsid w:val="00AD387B"/>
    <w:rsid w:val="00AE34E0"/>
    <w:rsid w:val="00B055D6"/>
    <w:rsid w:val="00B10E5A"/>
    <w:rsid w:val="00B1219C"/>
    <w:rsid w:val="00B14B94"/>
    <w:rsid w:val="00B21D61"/>
    <w:rsid w:val="00B24EE4"/>
    <w:rsid w:val="00B31C53"/>
    <w:rsid w:val="00B338A0"/>
    <w:rsid w:val="00B420AD"/>
    <w:rsid w:val="00B45883"/>
    <w:rsid w:val="00B764BA"/>
    <w:rsid w:val="00B93EB4"/>
    <w:rsid w:val="00BB175C"/>
    <w:rsid w:val="00BC07AD"/>
    <w:rsid w:val="00BC0F9F"/>
    <w:rsid w:val="00BC3490"/>
    <w:rsid w:val="00BD11A6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302F0"/>
    <w:rsid w:val="00C3566C"/>
    <w:rsid w:val="00C5391D"/>
    <w:rsid w:val="00C55A88"/>
    <w:rsid w:val="00C84EA7"/>
    <w:rsid w:val="00C863A4"/>
    <w:rsid w:val="00C87E39"/>
    <w:rsid w:val="00CA1557"/>
    <w:rsid w:val="00CA3D4B"/>
    <w:rsid w:val="00CB28BE"/>
    <w:rsid w:val="00CB3A48"/>
    <w:rsid w:val="00CB646F"/>
    <w:rsid w:val="00CC60DB"/>
    <w:rsid w:val="00D2267A"/>
    <w:rsid w:val="00D25ED8"/>
    <w:rsid w:val="00D366F9"/>
    <w:rsid w:val="00D445BA"/>
    <w:rsid w:val="00D46868"/>
    <w:rsid w:val="00D531EE"/>
    <w:rsid w:val="00D6143F"/>
    <w:rsid w:val="00D718AF"/>
    <w:rsid w:val="00D80C7E"/>
    <w:rsid w:val="00D81762"/>
    <w:rsid w:val="00D8550C"/>
    <w:rsid w:val="00D97233"/>
    <w:rsid w:val="00DB6A72"/>
    <w:rsid w:val="00DC14AC"/>
    <w:rsid w:val="00DC30A2"/>
    <w:rsid w:val="00DD172C"/>
    <w:rsid w:val="00DE5280"/>
    <w:rsid w:val="00DE77B0"/>
    <w:rsid w:val="00DF0CEB"/>
    <w:rsid w:val="00DF1961"/>
    <w:rsid w:val="00DF4D00"/>
    <w:rsid w:val="00E030A1"/>
    <w:rsid w:val="00E05C18"/>
    <w:rsid w:val="00E127D3"/>
    <w:rsid w:val="00E12977"/>
    <w:rsid w:val="00E13CF5"/>
    <w:rsid w:val="00E21070"/>
    <w:rsid w:val="00E25EC8"/>
    <w:rsid w:val="00E3625C"/>
    <w:rsid w:val="00E534F5"/>
    <w:rsid w:val="00E53AD8"/>
    <w:rsid w:val="00E546FB"/>
    <w:rsid w:val="00E56306"/>
    <w:rsid w:val="00E57653"/>
    <w:rsid w:val="00E7343E"/>
    <w:rsid w:val="00E943DB"/>
    <w:rsid w:val="00EA3EFA"/>
    <w:rsid w:val="00EA77C0"/>
    <w:rsid w:val="00EB13C8"/>
    <w:rsid w:val="00EB334F"/>
    <w:rsid w:val="00EB5E7F"/>
    <w:rsid w:val="00EC4968"/>
    <w:rsid w:val="00EC78D4"/>
    <w:rsid w:val="00ED2089"/>
    <w:rsid w:val="00ED4617"/>
    <w:rsid w:val="00ED4E25"/>
    <w:rsid w:val="00ED7D35"/>
    <w:rsid w:val="00EE42BE"/>
    <w:rsid w:val="00EF6FB6"/>
    <w:rsid w:val="00F10036"/>
    <w:rsid w:val="00F1228A"/>
    <w:rsid w:val="00F138DB"/>
    <w:rsid w:val="00F252CA"/>
    <w:rsid w:val="00F37C31"/>
    <w:rsid w:val="00F37C8D"/>
    <w:rsid w:val="00F403E4"/>
    <w:rsid w:val="00F43B1C"/>
    <w:rsid w:val="00F510FB"/>
    <w:rsid w:val="00F5545F"/>
    <w:rsid w:val="00F61CFC"/>
    <w:rsid w:val="00F8696D"/>
    <w:rsid w:val="00F910E7"/>
    <w:rsid w:val="00FA446F"/>
    <w:rsid w:val="00FA63DC"/>
    <w:rsid w:val="00FA6967"/>
    <w:rsid w:val="00FC2016"/>
    <w:rsid w:val="00FD1148"/>
    <w:rsid w:val="00FE29CB"/>
    <w:rsid w:val="00FE7213"/>
    <w:rsid w:val="00FF2AF7"/>
    <w:rsid w:val="00FF5351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9F464-91B5-4640-8604-589C37277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C1655F-C16A-40A5-8656-B0D72D45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163</TotalTime>
  <Pages>11</Pages>
  <Words>1511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Reece Carfrae</cp:lastModifiedBy>
  <cp:revision>104</cp:revision>
  <cp:lastPrinted>2011-10-27T15:55:00Z</cp:lastPrinted>
  <dcterms:created xsi:type="dcterms:W3CDTF">2024-08-29T14:53:00Z</dcterms:created>
  <dcterms:modified xsi:type="dcterms:W3CDTF">2024-09-10T09:29:00Z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